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before="100" w:beforeAutospacing="1" w:after="100" w:afterAutospacing="1" w:line="240" w:lineRule="auto"/>
        <w:jc w:val="center"/>
        <w:rPr>
          <w:rFonts w:ascii="Times New Roman" w:eastAsia="Calibri" w:hAnsi="Times New Roman" w:cs="Times New Roman"/>
          <w:b/>
          <w:bCs/>
          <w:sz w:val="28"/>
          <w:szCs w:val="28"/>
          <w:lang w:bidi="fa-IR"/>
        </w:rPr>
      </w:pPr>
      <w:r>
        <w:rPr>
          <w:rFonts w:ascii="Times New Roman" w:eastAsia="Calibri" w:hAnsi="Times New Roman" w:cs="Times New Roman"/>
          <w:b/>
          <w:bCs/>
          <w:sz w:val="28"/>
          <w:szCs w:val="28"/>
          <w:lang w:bidi="fa-IR"/>
        </w:rPr>
        <w:t>(Title of paper in font Times New Roman 14pt in bold)</w:t>
      </w:r>
    </w:p>
    <w:p>
      <w:pPr>
        <w:spacing w:before="100" w:beforeAutospacing="1" w:after="100" w:afterAutospacing="1" w:line="240" w:lineRule="auto"/>
        <w:jc w:val="center"/>
        <w:rPr>
          <w:rFonts w:ascii="Times New Roman" w:eastAsia="Calibri" w:hAnsi="Times New Roman" w:cs="Times New Roman"/>
          <w:b/>
          <w:bCs/>
          <w:sz w:val="24"/>
          <w:szCs w:val="24"/>
          <w:lang w:bidi="fa-IR"/>
        </w:rPr>
      </w:pPr>
      <w:r>
        <w:rPr>
          <w:rFonts w:ascii="Times New Roman" w:eastAsia="Calibri" w:hAnsi="Times New Roman" w:cs="Times New Roman"/>
          <w:b/>
          <w:bCs/>
          <w:sz w:val="24"/>
          <w:szCs w:val="24"/>
          <w:lang w:bidi="fa-IR"/>
        </w:rPr>
        <w:t>First author, second author … (corresponding author is specified by *, font Times New         Roman 12pt in bold)</w:t>
      </w:r>
    </w:p>
    <w:p>
      <w:pPr>
        <w:pStyle w:val="ListParagraph"/>
        <w:numPr>
          <w:ilvl w:val="0"/>
          <w:numId w:val="2"/>
        </w:numPr>
        <w:spacing w:before="100" w:beforeAutospacing="1" w:after="100" w:afterAutospacing="1" w:line="240" w:lineRule="auto"/>
        <w:ind w:left="284" w:hanging="284"/>
        <w:contextualSpacing w:val="0"/>
        <w:jc w:val="both"/>
        <w:rPr>
          <w:rFonts w:ascii="Times New Roman" w:eastAsia="Calibri" w:hAnsi="Times New Roman" w:cs="Times New Roman"/>
          <w:lang w:bidi="fa-IR"/>
        </w:rPr>
      </w:pPr>
      <w:r>
        <w:rPr>
          <w:rFonts w:ascii="Times New Roman" w:eastAsia="Calibri" w:hAnsi="Times New Roman" w:cs="Times New Roman"/>
          <w:lang w:bidi="fa-IR"/>
        </w:rPr>
        <w:t>Academic rank, main specialty, department, faculty, university \ research institute - e-mail address (Times New Roman 11pt)</w:t>
      </w:r>
    </w:p>
    <w:p>
      <w:pPr>
        <w:pStyle w:val="ListParagraph"/>
        <w:numPr>
          <w:ilvl w:val="0"/>
          <w:numId w:val="2"/>
        </w:numPr>
        <w:spacing w:before="100" w:beforeAutospacing="1" w:after="100" w:afterAutospacing="1" w:line="240" w:lineRule="auto"/>
        <w:ind w:left="284" w:hanging="284"/>
        <w:contextualSpacing w:val="0"/>
        <w:jc w:val="both"/>
        <w:rPr>
          <w:rFonts w:ascii="Times New Roman" w:eastAsia="Calibri" w:hAnsi="Times New Roman" w:cs="Times New Roman"/>
          <w:lang w:bidi="fa-IR"/>
        </w:rPr>
      </w:pPr>
      <w:bookmarkStart w:id="0" w:name="OLE_LINK9"/>
      <w:bookmarkStart w:id="1" w:name="OLE_LINK10"/>
      <w:r>
        <w:rPr>
          <w:rFonts w:ascii="Times New Roman" w:eastAsia="Calibri" w:hAnsi="Times New Roman" w:cs="Times New Roman"/>
          <w:lang w:bidi="fa-IR"/>
        </w:rPr>
        <w:t>Academic rank, main specialty, department, faculty, university \ research institute - e-mail address (Times New Roman 11pt)</w:t>
      </w:r>
    </w:p>
    <w:p>
      <w:pPr>
        <w:spacing w:after="0" w:line="240" w:lineRule="auto"/>
        <w:contextualSpacing/>
        <w:jc w:val="center"/>
        <w:rPr>
          <w:rFonts w:ascii="Times New Roman" w:eastAsia="Calibri" w:hAnsi="Times New Roman" w:cs="Times New Roman"/>
          <w:b/>
          <w:bCs/>
          <w:lang w:bidi="fa-IR"/>
        </w:rPr>
      </w:pPr>
      <w:r>
        <w:rPr>
          <w:rFonts w:ascii="Times New Roman" w:eastAsia="Calibri" w:hAnsi="Times New Roman" w:cs="Times New Roman"/>
          <w:b/>
          <w:bCs/>
          <w:lang w:bidi="fa-IR"/>
        </w:rPr>
        <w:t>.</w:t>
      </w:r>
    </w:p>
    <w:p>
      <w:pPr>
        <w:spacing w:after="0" w:line="240" w:lineRule="auto"/>
        <w:contextualSpacing/>
        <w:jc w:val="center"/>
        <w:rPr>
          <w:rFonts w:ascii="Times New Roman" w:eastAsia="Calibri" w:hAnsi="Times New Roman" w:cs="Times New Roman"/>
          <w:b/>
          <w:bCs/>
          <w:sz w:val="20"/>
          <w:szCs w:val="20"/>
          <w:lang w:bidi="fa-IR"/>
        </w:rPr>
      </w:pPr>
      <w:r>
        <w:rPr>
          <w:rFonts w:ascii="Times New Roman" w:eastAsia="Calibri" w:hAnsi="Times New Roman" w:cs="Times New Roman"/>
          <w:b/>
          <w:bCs/>
          <w:sz w:val="20"/>
          <w:szCs w:val="20"/>
          <w:lang w:bidi="fa-IR"/>
        </w:rPr>
        <w:t>.</w:t>
      </w:r>
    </w:p>
    <w:p>
      <w:pPr>
        <w:spacing w:after="0" w:line="240" w:lineRule="auto"/>
        <w:contextualSpacing/>
        <w:jc w:val="center"/>
        <w:rPr>
          <w:rFonts w:ascii="Times New Roman" w:eastAsia="Calibri" w:hAnsi="Times New Roman" w:cs="Times New Roman"/>
          <w:b/>
          <w:bCs/>
          <w:sz w:val="20"/>
          <w:szCs w:val="20"/>
          <w:lang w:bidi="fa-IR"/>
        </w:rPr>
      </w:pPr>
      <w:r>
        <w:rPr>
          <w:rFonts w:ascii="Times New Roman" w:eastAsia="Calibri" w:hAnsi="Times New Roman" w:cs="Times New Roman"/>
          <w:b/>
          <w:bCs/>
          <w:sz w:val="20"/>
          <w:szCs w:val="20"/>
          <w:lang w:bidi="fa-IR"/>
        </w:rPr>
        <w:t>.</w:t>
      </w:r>
    </w:p>
    <w:p>
      <w:pPr>
        <w:spacing w:before="120" w:after="120" w:line="240" w:lineRule="auto"/>
        <w:rPr>
          <w:rFonts w:ascii="Times New Roman" w:eastAsia="Calibri" w:hAnsi="Times New Roman" w:cs="Times New Roman"/>
          <w:b/>
          <w:bCs/>
          <w:sz w:val="24"/>
          <w:szCs w:val="24"/>
          <w:lang w:bidi="fa-IR"/>
        </w:rPr>
      </w:pPr>
      <w:r>
        <w:rPr>
          <w:rFonts w:ascii="Times New Roman" w:eastAsia="Calibri" w:hAnsi="Times New Roman" w:cs="Times New Roman"/>
          <w:b/>
          <w:bCs/>
          <w:sz w:val="24"/>
          <w:szCs w:val="24"/>
          <w:lang w:bidi="fa-IR"/>
        </w:rPr>
        <w:t>The full paper should have the following main components in order:</w:t>
      </w:r>
    </w:p>
    <w:p>
      <w:pPr>
        <w:pStyle w:val="ListParagraph"/>
        <w:numPr>
          <w:ilvl w:val="0"/>
          <w:numId w:val="3"/>
        </w:numPr>
        <w:spacing w:before="120" w:after="120" w:line="240" w:lineRule="auto"/>
        <w:ind w:left="641" w:hanging="284"/>
        <w:contextualSpacing w:val="0"/>
        <w:rPr>
          <w:rFonts w:ascii="Times New Roman" w:eastAsia="Calibri" w:hAnsi="Times New Roman" w:cs="Times New Roman"/>
          <w:b/>
          <w:bCs/>
          <w:sz w:val="24"/>
          <w:szCs w:val="24"/>
          <w:lang w:bidi="fa-IR"/>
        </w:rPr>
      </w:pPr>
      <w:r>
        <w:rPr>
          <w:rFonts w:ascii="Times New Roman" w:eastAsia="Calibri" w:hAnsi="Times New Roman" w:cs="Times New Roman"/>
          <w:b/>
          <w:bCs/>
          <w:sz w:val="24"/>
          <w:szCs w:val="24"/>
          <w:lang w:bidi="fa-IR"/>
        </w:rPr>
        <w:t>Abstract</w:t>
      </w:r>
    </w:p>
    <w:p>
      <w:pPr>
        <w:pStyle w:val="ListParagraph"/>
        <w:numPr>
          <w:ilvl w:val="0"/>
          <w:numId w:val="3"/>
        </w:numPr>
        <w:spacing w:before="120" w:after="120" w:line="240" w:lineRule="auto"/>
        <w:ind w:left="641" w:hanging="284"/>
        <w:contextualSpacing w:val="0"/>
        <w:rPr>
          <w:rFonts w:ascii="Times New Roman" w:eastAsia="Calibri" w:hAnsi="Times New Roman" w:cs="Times New Roman"/>
          <w:b/>
          <w:bCs/>
          <w:sz w:val="24"/>
          <w:szCs w:val="24"/>
          <w:lang w:bidi="fa-IR"/>
        </w:rPr>
      </w:pPr>
      <w:r>
        <w:rPr>
          <w:rFonts w:ascii="Times New Roman" w:eastAsia="Calibri" w:hAnsi="Times New Roman" w:cs="Times New Roman"/>
          <w:b/>
          <w:bCs/>
          <w:sz w:val="24"/>
          <w:szCs w:val="24"/>
          <w:lang w:bidi="fa-IR"/>
        </w:rPr>
        <w:t>Introduction</w:t>
      </w:r>
    </w:p>
    <w:p>
      <w:pPr>
        <w:pStyle w:val="ListParagraph"/>
        <w:numPr>
          <w:ilvl w:val="0"/>
          <w:numId w:val="3"/>
        </w:numPr>
        <w:spacing w:before="120" w:after="120" w:line="240" w:lineRule="auto"/>
        <w:ind w:left="641" w:hanging="284"/>
        <w:contextualSpacing w:val="0"/>
        <w:rPr>
          <w:rFonts w:ascii="Times New Roman" w:eastAsia="Calibri" w:hAnsi="Times New Roman" w:cs="Times New Roman"/>
          <w:b/>
          <w:bCs/>
          <w:sz w:val="24"/>
          <w:szCs w:val="24"/>
          <w:lang w:bidi="fa-IR"/>
        </w:rPr>
      </w:pPr>
      <w:r>
        <w:rPr>
          <w:rFonts w:ascii="Times New Roman" w:eastAsia="Calibri" w:hAnsi="Times New Roman" w:cs="Times New Roman"/>
          <w:b/>
          <w:bCs/>
          <w:sz w:val="24"/>
          <w:szCs w:val="24"/>
          <w:lang w:bidi="fa-IR"/>
        </w:rPr>
        <w:t>Materials and Methods</w:t>
      </w:r>
    </w:p>
    <w:p>
      <w:pPr>
        <w:pStyle w:val="ListParagraph"/>
        <w:numPr>
          <w:ilvl w:val="0"/>
          <w:numId w:val="3"/>
        </w:numPr>
        <w:spacing w:before="120" w:after="120" w:line="240" w:lineRule="auto"/>
        <w:ind w:left="641" w:hanging="284"/>
        <w:contextualSpacing w:val="0"/>
        <w:rPr>
          <w:rFonts w:ascii="Times New Roman" w:eastAsia="Calibri" w:hAnsi="Times New Roman" w:cs="Times New Roman"/>
          <w:b/>
          <w:bCs/>
          <w:sz w:val="24"/>
          <w:szCs w:val="24"/>
          <w:lang w:bidi="fa-IR"/>
        </w:rPr>
      </w:pPr>
      <w:r>
        <w:rPr>
          <w:rFonts w:ascii="Times New Roman" w:eastAsia="Calibri" w:hAnsi="Times New Roman" w:cs="Times New Roman"/>
          <w:b/>
          <w:bCs/>
          <w:sz w:val="24"/>
          <w:szCs w:val="24"/>
          <w:lang w:bidi="fa-IR"/>
        </w:rPr>
        <w:t>Results and Discussion</w:t>
      </w:r>
    </w:p>
    <w:p>
      <w:pPr>
        <w:pStyle w:val="ListParagraph"/>
        <w:numPr>
          <w:ilvl w:val="0"/>
          <w:numId w:val="3"/>
        </w:numPr>
        <w:spacing w:before="120" w:after="120" w:line="240" w:lineRule="auto"/>
        <w:ind w:left="641" w:hanging="284"/>
        <w:contextualSpacing w:val="0"/>
        <w:rPr>
          <w:rFonts w:ascii="Times New Roman" w:eastAsia="Calibri" w:hAnsi="Times New Roman" w:cs="Times New Roman"/>
          <w:b/>
          <w:bCs/>
          <w:sz w:val="24"/>
          <w:szCs w:val="24"/>
          <w:lang w:bidi="fa-IR"/>
        </w:rPr>
      </w:pPr>
      <w:r>
        <w:rPr>
          <w:rFonts w:ascii="Times New Roman" w:eastAsia="Calibri" w:hAnsi="Times New Roman" w:cs="Times New Roman"/>
          <w:b/>
          <w:bCs/>
          <w:sz w:val="24"/>
          <w:szCs w:val="24"/>
          <w:lang w:bidi="fa-IR"/>
        </w:rPr>
        <w:t>Conclusion</w:t>
      </w:r>
    </w:p>
    <w:p>
      <w:pPr>
        <w:pStyle w:val="ListParagraph"/>
        <w:numPr>
          <w:ilvl w:val="0"/>
          <w:numId w:val="3"/>
        </w:numPr>
        <w:spacing w:before="120" w:after="120" w:line="240" w:lineRule="auto"/>
        <w:ind w:left="641" w:hanging="284"/>
        <w:contextualSpacing w:val="0"/>
        <w:rPr>
          <w:rFonts w:ascii="Times New Roman" w:eastAsia="Calibri" w:hAnsi="Times New Roman" w:cs="Times New Roman"/>
          <w:b/>
          <w:bCs/>
          <w:sz w:val="24"/>
          <w:szCs w:val="24"/>
          <w:lang w:bidi="fa-IR"/>
        </w:rPr>
      </w:pPr>
      <w:r>
        <w:rPr>
          <w:rFonts w:ascii="Times New Roman" w:eastAsia="Calibri" w:hAnsi="Times New Roman" w:cs="Times New Roman"/>
          <w:b/>
          <w:bCs/>
          <w:sz w:val="24"/>
          <w:szCs w:val="24"/>
          <w:lang w:bidi="fa-IR"/>
        </w:rPr>
        <w:t>References</w:t>
      </w:r>
    </w:p>
    <w:p>
      <w:pPr>
        <w:pStyle w:val="ListParagraph"/>
        <w:numPr>
          <w:ilvl w:val="0"/>
          <w:numId w:val="3"/>
        </w:numPr>
        <w:spacing w:before="120" w:after="120" w:line="240" w:lineRule="auto"/>
        <w:ind w:left="641" w:hanging="284"/>
        <w:contextualSpacing w:val="0"/>
        <w:rPr>
          <w:rFonts w:ascii="Times New Roman" w:eastAsia="Calibri" w:hAnsi="Times New Roman" w:cs="Times New Roman"/>
          <w:b/>
          <w:bCs/>
          <w:sz w:val="24"/>
          <w:szCs w:val="24"/>
          <w:lang w:bidi="fa-IR"/>
        </w:rPr>
      </w:pPr>
      <w:r>
        <w:rPr>
          <w:rFonts w:ascii="Times New Roman" w:eastAsia="Calibri" w:hAnsi="Times New Roman" w:cs="Times New Roman"/>
          <w:b/>
          <w:bCs/>
          <w:sz w:val="24"/>
          <w:szCs w:val="24"/>
          <w:lang w:bidi="fa-IR"/>
        </w:rPr>
        <w:t>Abstract (in Persian)</w:t>
      </w:r>
    </w:p>
    <w:p>
      <w:pPr>
        <w:spacing w:before="100" w:beforeAutospacing="1" w:after="100" w:afterAutospacing="1" w:line="240" w:lineRule="auto"/>
        <w:rPr>
          <w:rFonts w:ascii="Times New Roman" w:eastAsia="Calibri" w:hAnsi="Times New Roman" w:cs="Times New Roman"/>
          <w:b/>
          <w:bCs/>
          <w:sz w:val="24"/>
          <w:szCs w:val="24"/>
          <w:lang w:bidi="fa-IR"/>
        </w:rPr>
      </w:pPr>
      <w:r>
        <w:rPr>
          <w:rFonts w:ascii="Times New Roman" w:eastAsia="Calibri" w:hAnsi="Times New Roman" w:cs="Times New Roman"/>
          <w:b/>
          <w:bCs/>
          <w:sz w:val="24"/>
          <w:szCs w:val="24"/>
          <w:lang w:bidi="fa-IR"/>
        </w:rPr>
        <w:t>Abstract</w:t>
      </w:r>
      <w:bookmarkEnd w:id="0"/>
      <w:bookmarkEnd w:id="1"/>
      <w:r>
        <w:rPr>
          <w:rFonts w:ascii="Times New Roman" w:eastAsia="Calibri" w:hAnsi="Times New Roman" w:cs="Times New Roman"/>
          <w:b/>
          <w:bCs/>
          <w:sz w:val="24"/>
          <w:szCs w:val="24"/>
          <w:lang w:bidi="fa-IR"/>
        </w:rPr>
        <w:t xml:space="preserve"> (Times New Roman 12pt in Bold)</w:t>
      </w:r>
    </w:p>
    <w:p>
      <w:pPr>
        <w:spacing w:before="100" w:beforeAutospacing="1" w:after="100" w:afterAutospacing="1" w:line="240" w:lineRule="auto"/>
        <w:ind w:left="567" w:right="567"/>
        <w:jc w:val="both"/>
        <w:rPr>
          <w:rFonts w:ascii="Times New Roman" w:eastAsia="Calibri" w:hAnsi="Times New Roman" w:cs="Times New Roman"/>
          <w:lang w:bidi="fa-IR"/>
        </w:rPr>
      </w:pPr>
      <w:r>
        <w:rPr>
          <w:rFonts w:ascii="Times New Roman" w:eastAsia="Calibri" w:hAnsi="Times New Roman" w:cs="Times New Roman"/>
          <w:lang w:bidi="fa-IR"/>
        </w:rPr>
        <w:t>Each paper should include an abstract that has been composed maximum of 250 words in one paragraph. This section should independently explain the summary of subject, aims, research method of the article's results. Citing the references must be avoided in this section. The font to this section is (Times New Roman 11pt).</w:t>
      </w:r>
    </w:p>
    <w:p>
      <w:pPr>
        <w:spacing w:before="100" w:beforeAutospacing="1" w:after="100" w:afterAutospacing="1" w:line="240" w:lineRule="auto"/>
        <w:rPr>
          <w:rFonts w:ascii="Times New Roman" w:eastAsia="Calibri" w:hAnsi="Times New Roman" w:cs="Times New Roman"/>
          <w:lang w:bidi="fa-IR"/>
        </w:rPr>
      </w:pPr>
      <w:r>
        <w:rPr>
          <w:rFonts w:ascii="Times New Roman" w:eastAsia="Calibri" w:hAnsi="Times New Roman" w:cs="Times New Roman"/>
          <w:b/>
          <w:bCs/>
          <w:i/>
          <w:iCs/>
          <w:lang w:bidi="fa-IR"/>
        </w:rPr>
        <w:t>Keywords</w:t>
      </w:r>
      <w:r>
        <w:rPr>
          <w:rFonts w:ascii="Times New Roman" w:eastAsia="Calibri" w:hAnsi="Times New Roman" w:cs="Times New Roman"/>
          <w:b/>
          <w:bCs/>
          <w:lang w:bidi="fa-IR"/>
        </w:rPr>
        <w:t>:</w:t>
      </w:r>
      <w:r>
        <w:rPr>
          <w:rFonts w:ascii="Times New Roman" w:eastAsia="Calibri" w:hAnsi="Times New Roman" w:cs="Times New Roman"/>
          <w:lang w:bidi="fa-IR"/>
        </w:rPr>
        <w:t xml:space="preserve"> Contains a minimum of 5 and a maximum of 6 words separated by commas and arranged alphabetically in one line. (Times New Roman 11pt)</w:t>
      </w:r>
      <w:r>
        <w:rPr>
          <w:rFonts w:ascii="Times New Roman" w:eastAsia="Calibri" w:hAnsi="Times New Roman" w:cs="Times New Roman"/>
          <w:lang w:bidi="fa-IR"/>
        </w:rPr>
        <w:br w:type="page"/>
      </w:r>
    </w:p>
    <w:p>
      <w:pPr>
        <w:spacing w:before="100" w:beforeAutospacing="1" w:after="100" w:afterAutospacing="1" w:line="240" w:lineRule="auto"/>
        <w:rPr>
          <w:rFonts w:ascii="Times New Roman" w:eastAsia="Calibri" w:hAnsi="Times New Roman" w:cs="Times New Roman"/>
          <w:b/>
          <w:bCs/>
          <w:sz w:val="24"/>
          <w:szCs w:val="24"/>
          <w:lang w:bidi="fa-IR"/>
        </w:rPr>
      </w:pPr>
      <w:r>
        <w:rPr>
          <w:rFonts w:ascii="Times New Roman" w:eastAsia="Calibri" w:hAnsi="Times New Roman" w:cs="Times New Roman"/>
          <w:b/>
          <w:bCs/>
          <w:sz w:val="24"/>
          <w:szCs w:val="24"/>
          <w:lang w:bidi="fa-IR"/>
        </w:rPr>
        <w:lastRenderedPageBreak/>
        <w:t>1. Introduction (Times New Roman 12pt in Bold)</w:t>
      </w:r>
    </w:p>
    <w:p>
      <w:pPr>
        <w:spacing w:before="100" w:beforeAutospacing="1" w:after="100" w:afterAutospacing="1" w:line="240" w:lineRule="auto"/>
        <w:ind w:firstLine="284"/>
        <w:jc w:val="both"/>
        <w:rPr>
          <w:rFonts w:ascii="Times New Roman" w:eastAsia="Calibri" w:hAnsi="Times New Roman" w:cs="Times New Roman"/>
          <w:sz w:val="24"/>
          <w:szCs w:val="24"/>
          <w:lang w:bidi="fa-IR"/>
        </w:rPr>
      </w:pPr>
      <w:r>
        <w:rPr>
          <w:rFonts w:ascii="Times New Roman" w:eastAsia="Calibri" w:hAnsi="Times New Roman" w:cs="Times New Roman"/>
          <w:sz w:val="24"/>
          <w:szCs w:val="24"/>
          <w:lang w:bidi="fa-IR"/>
        </w:rPr>
        <w:t>Writing papers requires word software (preferably Office version 2013) in windows, and A4 paper is needed. In preparing the main text consider using the (Times New Roman</w:t>
      </w:r>
      <w:r>
        <w:rPr>
          <w:rFonts w:ascii="Times New Roman" w:eastAsia="Calibri" w:hAnsi="Times New Roman" w:cs="Times New Roman"/>
          <w:b/>
          <w:bCs/>
          <w:sz w:val="28"/>
          <w:szCs w:val="28"/>
          <w:lang w:bidi="fa-IR"/>
        </w:rPr>
        <w:t xml:space="preserve"> </w:t>
      </w:r>
      <w:r>
        <w:rPr>
          <w:rFonts w:ascii="Times New Roman" w:eastAsia="Calibri" w:hAnsi="Times New Roman" w:cs="Times New Roman"/>
          <w:sz w:val="24"/>
          <w:szCs w:val="24"/>
          <w:lang w:bidi="fa-IR"/>
        </w:rPr>
        <w:t>12pt) font and single line spacing. Set the space between paragraphs in automatic (Auto) mode. The text of the paper should be provided with margins of 35 mm from the upper and left edges and 25 mm from the bottom and right edges. The title of each section uses the font (</w:t>
      </w:r>
      <w:bookmarkStart w:id="2" w:name="OLE_LINK3"/>
      <w:bookmarkStart w:id="3" w:name="OLE_LINK4"/>
      <w:r>
        <w:rPr>
          <w:rFonts w:ascii="Times New Roman" w:eastAsia="Calibri" w:hAnsi="Times New Roman" w:cs="Times New Roman"/>
          <w:sz w:val="24"/>
          <w:szCs w:val="24"/>
          <w:lang w:bidi="fa-IR"/>
        </w:rPr>
        <w:t xml:space="preserve">Times New Roman </w:t>
      </w:r>
      <w:bookmarkEnd w:id="2"/>
      <w:bookmarkEnd w:id="3"/>
      <w:r>
        <w:rPr>
          <w:rFonts w:ascii="Times New Roman" w:eastAsia="Calibri" w:hAnsi="Times New Roman" w:cs="Times New Roman"/>
          <w:sz w:val="24"/>
          <w:szCs w:val="24"/>
          <w:lang w:bidi="fa-IR"/>
        </w:rPr>
        <w:t>12pt in Bold) with the number of sections, and a spacing with a blank line, from the previous section. The subtitles should be written with the font (Times New Roman 11pt in Italics), with the same order. The first line of all paragraphs should be indented 5 mm. Punctuations like dots, commas, etc. must be properly used.</w:t>
      </w:r>
    </w:p>
    <w:p>
      <w:pPr>
        <w:spacing w:before="100" w:beforeAutospacing="1" w:after="100" w:afterAutospacing="1" w:line="240" w:lineRule="auto"/>
        <w:rPr>
          <w:rFonts w:ascii="Times New Roman" w:eastAsia="Calibri" w:hAnsi="Times New Roman" w:cs="Times New Roman"/>
          <w:b/>
          <w:bCs/>
          <w:sz w:val="24"/>
          <w:szCs w:val="24"/>
          <w:lang w:bidi="fa-IR"/>
        </w:rPr>
      </w:pPr>
      <w:r>
        <w:rPr>
          <w:rFonts w:ascii="Times New Roman" w:eastAsia="Calibri" w:hAnsi="Times New Roman" w:cs="Times New Roman"/>
          <w:b/>
          <w:bCs/>
          <w:sz w:val="24"/>
          <w:szCs w:val="24"/>
          <w:lang w:bidi="fa-IR"/>
        </w:rPr>
        <w:t>2. Submission</w:t>
      </w:r>
    </w:p>
    <w:p>
      <w:pPr>
        <w:spacing w:before="100" w:beforeAutospacing="1" w:after="100" w:afterAutospacing="1" w:line="240" w:lineRule="auto"/>
        <w:ind w:firstLine="284"/>
        <w:jc w:val="both"/>
        <w:rPr>
          <w:rFonts w:ascii="Times New Roman" w:eastAsia="Calibri" w:hAnsi="Times New Roman" w:cs="Times New Roman"/>
          <w:sz w:val="24"/>
          <w:szCs w:val="24"/>
          <w:lang w:bidi="fa-IR"/>
        </w:rPr>
      </w:pPr>
      <w:r>
        <w:rPr>
          <w:rFonts w:ascii="Times New Roman" w:eastAsia="Calibri" w:hAnsi="Times New Roman" w:cs="Times New Roman"/>
          <w:sz w:val="24"/>
          <w:szCs w:val="24"/>
          <w:lang w:bidi="fa-IR"/>
        </w:rPr>
        <w:t xml:space="preserve">All full papers will be evaluated by the conference jury. For this reason, it is necessary to the text file to be prepared according to the terms of this document and submitted with the .doc and .pdf format via conference's </w:t>
      </w:r>
      <w:proofErr w:type="gramStart"/>
      <w:r>
        <w:rPr>
          <w:rFonts w:ascii="Times New Roman" w:eastAsia="Calibri" w:hAnsi="Times New Roman" w:cs="Times New Roman"/>
          <w:sz w:val="24"/>
          <w:szCs w:val="24"/>
          <w:lang w:bidi="fa-IR"/>
        </w:rPr>
        <w:t>users</w:t>
      </w:r>
      <w:proofErr w:type="gramEnd"/>
      <w:r>
        <w:rPr>
          <w:rFonts w:ascii="Times New Roman" w:eastAsia="Calibri" w:hAnsi="Times New Roman" w:cs="Times New Roman"/>
          <w:sz w:val="24"/>
          <w:szCs w:val="24"/>
          <w:lang w:bidi="fa-IR"/>
        </w:rPr>
        <w:t xml:space="preserve"> system in the website. Secretariat excuses submissions that are not provided with these formats. In case of facing with any problem while submitting share with the secretariat of the conference via the address </w:t>
      </w:r>
      <w:hyperlink r:id="rId8" w:history="1">
        <w:r>
          <w:rPr>
            <w:rStyle w:val="Hyperlink"/>
            <w:rFonts w:ascii="Times New Roman" w:eastAsia="Calibri" w:hAnsi="Times New Roman" w:cs="Times New Roman"/>
            <w:sz w:val="24"/>
            <w:szCs w:val="24"/>
            <w:lang w:bidi="fa-IR"/>
          </w:rPr>
          <w:t>info@events.uma.ac.ir/agri</w:t>
        </w:r>
      </w:hyperlink>
      <w:r>
        <w:rPr>
          <w:rFonts w:ascii="Times New Roman" w:eastAsia="Calibri" w:hAnsi="Times New Roman" w:cs="Times New Roman"/>
          <w:sz w:val="24"/>
          <w:szCs w:val="24"/>
          <w:lang w:bidi="fa-IR"/>
        </w:rPr>
        <w:t xml:space="preserve"> The state of acceptance of the paper will be informed to the corresponding author which has recently been specified with an asterisk in the list of authors. However the status of articles can be followed via the website of the conference </w:t>
      </w:r>
      <w:hyperlink r:id="rId9" w:history="1">
        <w:r>
          <w:rPr>
            <w:rStyle w:val="Hyperlink"/>
            <w:rFonts w:ascii="Times New Roman" w:eastAsia="Calibri" w:hAnsi="Times New Roman" w:cs="Times New Roman"/>
            <w:sz w:val="24"/>
            <w:szCs w:val="24"/>
            <w:lang w:bidi="fa-IR"/>
          </w:rPr>
          <w:t>https://events.uma.ac.ir/agri</w:t>
        </w:r>
      </w:hyperlink>
      <w:r>
        <w:rPr>
          <w:rFonts w:ascii="Times New Roman" w:eastAsia="Calibri" w:hAnsi="Times New Roman" w:cs="Times New Roman"/>
          <w:sz w:val="24"/>
          <w:szCs w:val="24"/>
          <w:lang w:bidi="fa-IR"/>
        </w:rPr>
        <w:t xml:space="preserve"> When the paper is accepted, it is necessary for the authors of the article to apply the corrections requested by the referees in the requested time frame and re-send the final version via the conference's website.</w:t>
      </w:r>
    </w:p>
    <w:p>
      <w:pPr>
        <w:spacing w:before="100" w:beforeAutospacing="1" w:after="100" w:afterAutospacing="1" w:line="240" w:lineRule="auto"/>
        <w:rPr>
          <w:rFonts w:ascii="Times New Roman" w:eastAsia="Calibri" w:hAnsi="Times New Roman" w:cs="Times New Roman"/>
          <w:b/>
          <w:bCs/>
          <w:sz w:val="24"/>
          <w:szCs w:val="24"/>
          <w:lang w:bidi="fa-IR"/>
        </w:rPr>
      </w:pPr>
      <w:r>
        <w:rPr>
          <w:rFonts w:ascii="Times New Roman" w:eastAsia="Calibri" w:hAnsi="Times New Roman" w:cs="Times New Roman"/>
          <w:b/>
          <w:bCs/>
          <w:sz w:val="24"/>
          <w:szCs w:val="24"/>
          <w:lang w:bidi="fa-IR"/>
        </w:rPr>
        <w:t>3. Length of the paper</w:t>
      </w:r>
    </w:p>
    <w:p>
      <w:pPr>
        <w:spacing w:before="100" w:beforeAutospacing="1" w:after="100" w:afterAutospacing="1" w:line="240" w:lineRule="auto"/>
        <w:rPr>
          <w:rFonts w:ascii="Times New Roman" w:eastAsia="Calibri" w:hAnsi="Times New Roman" w:cs="Times New Roman"/>
          <w:b/>
          <w:bCs/>
          <w:sz w:val="24"/>
          <w:szCs w:val="24"/>
          <w:lang w:bidi="fa-IR"/>
        </w:rPr>
      </w:pPr>
      <w:r>
        <w:rPr>
          <w:rFonts w:ascii="Times New Roman" w:eastAsia="Calibri" w:hAnsi="Times New Roman" w:cs="Times New Roman"/>
          <w:sz w:val="24"/>
          <w:szCs w:val="24"/>
          <w:lang w:bidi="fa-IR"/>
        </w:rPr>
        <w:t xml:space="preserve">The article should be </w:t>
      </w:r>
      <w:r>
        <w:rPr>
          <w:rFonts w:ascii="Times New Roman" w:eastAsia="Calibri" w:hAnsi="Times New Roman" w:cs="Times New Roman"/>
          <w:b/>
          <w:bCs/>
          <w:sz w:val="24"/>
          <w:szCs w:val="24"/>
          <w:lang w:bidi="fa-IR"/>
        </w:rPr>
        <w:t>5 to 10 pages</w:t>
      </w:r>
      <w:r>
        <w:rPr>
          <w:rFonts w:ascii="Times New Roman" w:eastAsia="Calibri" w:hAnsi="Times New Roman" w:cs="Times New Roman"/>
          <w:sz w:val="24"/>
          <w:szCs w:val="24"/>
          <w:lang w:bidi="fa-IR"/>
        </w:rPr>
        <w:t xml:space="preserve"> </w:t>
      </w:r>
      <w:r>
        <w:rPr>
          <w:rFonts w:ascii="Times New Roman" w:eastAsia="Calibri" w:hAnsi="Times New Roman" w:cs="Times New Roman"/>
          <w:b/>
          <w:bCs/>
          <w:sz w:val="24"/>
          <w:szCs w:val="24"/>
          <w:lang w:bidi="fa-IR"/>
        </w:rPr>
        <w:t>Length</w:t>
      </w:r>
      <w:r>
        <w:rPr>
          <w:rFonts w:ascii="Times New Roman" w:eastAsia="Calibri" w:hAnsi="Times New Roman" w:cs="Times New Roman"/>
          <w:sz w:val="24"/>
          <w:szCs w:val="24"/>
          <w:lang w:bidi="fa-IR"/>
        </w:rPr>
        <w:t xml:space="preserve">, including all sections such as </w:t>
      </w:r>
      <w:r>
        <w:rPr>
          <w:rFonts w:ascii="Times New Roman" w:eastAsia="Calibri" w:hAnsi="Times New Roman" w:cs="Times New Roman"/>
          <w:b/>
          <w:bCs/>
          <w:sz w:val="24"/>
          <w:szCs w:val="24"/>
          <w:lang w:bidi="fa-IR"/>
        </w:rPr>
        <w:t>figures and tables</w:t>
      </w:r>
      <w:r>
        <w:rPr>
          <w:rFonts w:ascii="Times New Roman" w:eastAsia="Calibri" w:hAnsi="Times New Roman" w:cs="Times New Roman"/>
          <w:sz w:val="24"/>
          <w:szCs w:val="24"/>
          <w:lang w:bidi="fa-IR"/>
        </w:rPr>
        <w:t>.</w:t>
      </w:r>
    </w:p>
    <w:p>
      <w:pPr>
        <w:spacing w:before="100" w:beforeAutospacing="1" w:after="100" w:afterAutospacing="1" w:line="240" w:lineRule="auto"/>
        <w:rPr>
          <w:rFonts w:ascii="Times New Roman" w:eastAsia="Calibri" w:hAnsi="Times New Roman" w:cs="Times New Roman"/>
          <w:b/>
          <w:bCs/>
          <w:sz w:val="24"/>
          <w:szCs w:val="24"/>
          <w:lang w:bidi="fa-IR"/>
        </w:rPr>
      </w:pPr>
      <w:r>
        <w:rPr>
          <w:rFonts w:ascii="Times New Roman" w:eastAsia="Calibri" w:hAnsi="Times New Roman" w:cs="Times New Roman"/>
          <w:b/>
          <w:bCs/>
          <w:sz w:val="24"/>
          <w:szCs w:val="24"/>
          <w:lang w:bidi="fa-IR"/>
        </w:rPr>
        <w:t xml:space="preserve">4. </w:t>
      </w:r>
      <w:bookmarkStart w:id="4" w:name="OLE_LINK14"/>
      <w:bookmarkStart w:id="5" w:name="OLE_LINK19"/>
      <w:r>
        <w:rPr>
          <w:rFonts w:ascii="Times New Roman" w:eastAsia="Calibri" w:hAnsi="Times New Roman" w:cs="Times New Roman"/>
          <w:b/>
          <w:bCs/>
          <w:sz w:val="24"/>
          <w:szCs w:val="24"/>
          <w:lang w:bidi="fa-IR"/>
        </w:rPr>
        <w:t>Mathematical Equations</w:t>
      </w:r>
      <w:bookmarkEnd w:id="4"/>
      <w:bookmarkEnd w:id="5"/>
      <w:r>
        <w:rPr>
          <w:rFonts w:ascii="Times New Roman" w:eastAsia="Calibri" w:hAnsi="Times New Roman" w:cs="Times New Roman"/>
          <w:b/>
          <w:bCs/>
          <w:sz w:val="24"/>
          <w:szCs w:val="24"/>
          <w:lang w:bidi="fa-IR"/>
        </w:rPr>
        <w:t>, figures, and tables</w:t>
      </w:r>
    </w:p>
    <w:p>
      <w:pPr>
        <w:spacing w:before="100" w:beforeAutospacing="1" w:after="100" w:afterAutospacing="1" w:line="240" w:lineRule="auto"/>
        <w:rPr>
          <w:rFonts w:ascii="Times New Roman" w:eastAsia="Calibri" w:hAnsi="Times New Roman" w:cs="Times New Roman"/>
          <w:i/>
          <w:iCs/>
          <w:lang w:bidi="fa-IR"/>
        </w:rPr>
      </w:pPr>
      <w:r>
        <w:rPr>
          <w:rFonts w:ascii="Times New Roman" w:eastAsia="Calibri" w:hAnsi="Times New Roman" w:cs="Times New Roman"/>
          <w:i/>
          <w:iCs/>
          <w:lang w:bidi="fa-IR"/>
        </w:rPr>
        <w:t>1-4-</w:t>
      </w:r>
      <w:r>
        <w:rPr>
          <w:rFonts w:ascii="Times New Roman" w:eastAsia="Calibri" w:hAnsi="Times New Roman" w:cs="Times New Roman"/>
          <w:i/>
          <w:iCs/>
          <w:sz w:val="24"/>
          <w:szCs w:val="24"/>
          <w:lang w:bidi="fa-IR"/>
        </w:rPr>
        <w:t xml:space="preserve"> </w:t>
      </w:r>
      <w:r>
        <w:rPr>
          <w:rFonts w:ascii="Times New Roman" w:eastAsia="Calibri" w:hAnsi="Times New Roman" w:cs="Times New Roman"/>
          <w:i/>
          <w:iCs/>
          <w:lang w:bidi="fa-IR"/>
        </w:rPr>
        <w:t>Equations and formulas</w:t>
      </w:r>
    </w:p>
    <w:p>
      <w:pPr>
        <w:spacing w:before="100" w:beforeAutospacing="1" w:after="100" w:afterAutospacing="1" w:line="240" w:lineRule="auto"/>
        <w:ind w:firstLine="284"/>
        <w:jc w:val="both"/>
        <w:rPr>
          <w:rFonts w:ascii="Arial" w:eastAsia="Times New Roman" w:hAnsi="Arial" w:cs="B Nazanin"/>
          <w:noProof/>
          <w:sz w:val="20"/>
          <w:szCs w:val="24"/>
          <w:lang w:bidi="fa-IR"/>
        </w:rPr>
      </w:pPr>
      <w:r>
        <w:rPr>
          <w:rFonts w:ascii="Times New Roman" w:eastAsia="Calibri" w:hAnsi="Times New Roman" w:cs="Times New Roman"/>
          <w:sz w:val="24"/>
          <w:szCs w:val="24"/>
          <w:lang w:bidi="fa-IR"/>
        </w:rPr>
        <w:t>All equations and formulas should be written in the middle of the line (center alignment) and with a font size appropriate to the text. The number of each equation / formula should be mentioned in parentheses at the end of the right side. Consider the following example as a model:</w:t>
      </w:r>
    </w:p>
    <w:p>
      <w:pPr>
        <w:spacing w:before="100" w:beforeAutospacing="1" w:after="100" w:afterAutospacing="1" w:line="240" w:lineRule="auto"/>
        <w:ind w:firstLine="3969"/>
        <w:jc w:val="both"/>
        <w:rPr>
          <w:rFonts w:ascii="Arial" w:eastAsia="Times New Roman" w:hAnsi="Arial" w:cs="B Nazanin"/>
          <w:iCs/>
          <w:noProof/>
          <w:sz w:val="20"/>
          <w:szCs w:val="24"/>
          <w:rtl/>
          <w:lang w:bidi="fa-IR"/>
        </w:rPr>
      </w:pPr>
      <m:oMath>
        <m:acc>
          <m:accPr>
            <m:chr m:val="̅"/>
            <m:ctrlPr>
              <w:rPr>
                <w:rFonts w:ascii="Cambria Math" w:eastAsia="Times New Roman" w:hAnsi="Cambria Math" w:cstheme="majorBidi"/>
                <w:iCs/>
                <w:noProof/>
                <w:szCs w:val="24"/>
                <w:lang w:bidi="fa-IR"/>
              </w:rPr>
            </m:ctrlPr>
          </m:accPr>
          <m:e>
            <m:r>
              <m:rPr>
                <m:sty m:val="p"/>
              </m:rPr>
              <w:rPr>
                <w:rFonts w:ascii="Cambria Math" w:eastAsia="Times New Roman" w:hAnsi="Cambria Math" w:cstheme="majorBidi"/>
                <w:noProof/>
                <w:szCs w:val="24"/>
                <w:lang w:bidi="fa-IR"/>
              </w:rPr>
              <m:t>R</m:t>
            </m:r>
          </m:e>
        </m:acc>
        <m:r>
          <m:rPr>
            <m:sty m:val="p"/>
          </m:rPr>
          <w:rPr>
            <w:rFonts w:ascii="Cambria Math" w:eastAsia="Times New Roman" w:hAnsi="Cambria Math" w:cstheme="majorBidi"/>
            <w:noProof/>
            <w:szCs w:val="24"/>
            <w:lang w:bidi="fa-IR"/>
          </w:rPr>
          <m:t xml:space="preserve">= </m:t>
        </m:r>
        <m:f>
          <m:fPr>
            <m:ctrlPr>
              <w:rPr>
                <w:rFonts w:ascii="Cambria Math" w:eastAsia="Times New Roman" w:hAnsi="Cambria Math" w:cstheme="majorBidi"/>
                <w:iCs/>
                <w:noProof/>
                <w:szCs w:val="24"/>
                <w:lang w:bidi="fa-IR"/>
              </w:rPr>
            </m:ctrlPr>
          </m:fPr>
          <m:num>
            <m:nary>
              <m:naryPr>
                <m:chr m:val="∑"/>
                <m:limLoc m:val="undOvr"/>
                <m:subHide m:val="1"/>
                <m:supHide m:val="1"/>
                <m:ctrlPr>
                  <w:rPr>
                    <w:rFonts w:ascii="Cambria Math" w:eastAsia="Times New Roman" w:hAnsi="Cambria Math" w:cstheme="majorBidi"/>
                    <w:iCs/>
                    <w:noProof/>
                    <w:szCs w:val="24"/>
                    <w:lang w:bidi="fa-IR"/>
                  </w:rPr>
                </m:ctrlPr>
              </m:naryPr>
              <m:sub/>
              <m:sup/>
              <m:e>
                <m:r>
                  <m:rPr>
                    <m:sty m:val="p"/>
                  </m:rPr>
                  <w:rPr>
                    <w:rFonts w:ascii="Cambria Math" w:eastAsia="Times New Roman" w:hAnsi="Cambria Math" w:cstheme="majorBidi"/>
                    <w:noProof/>
                    <w:szCs w:val="24"/>
                    <w:lang w:bidi="fa-IR"/>
                  </w:rPr>
                  <m:t>n</m:t>
                </m:r>
              </m:e>
            </m:nary>
          </m:num>
          <m:den>
            <m:nary>
              <m:naryPr>
                <m:chr m:val="∑"/>
                <m:limLoc m:val="undOvr"/>
                <m:subHide m:val="1"/>
                <m:supHide m:val="1"/>
                <m:ctrlPr>
                  <w:rPr>
                    <w:rFonts w:ascii="Cambria Math" w:eastAsia="Times New Roman" w:hAnsi="Cambria Math" w:cstheme="majorBidi"/>
                    <w:iCs/>
                    <w:noProof/>
                    <w:szCs w:val="24"/>
                    <w:lang w:bidi="fa-IR"/>
                  </w:rPr>
                </m:ctrlPr>
              </m:naryPr>
              <m:sub/>
              <m:sup/>
              <m:e>
                <m:r>
                  <m:rPr>
                    <m:sty m:val="p"/>
                  </m:rPr>
                  <w:rPr>
                    <w:rFonts w:ascii="Cambria Math" w:eastAsia="Times New Roman" w:hAnsi="Cambria Math" w:cstheme="majorBidi"/>
                    <w:noProof/>
                    <w:szCs w:val="24"/>
                    <w:lang w:bidi="fa-IR"/>
                  </w:rPr>
                  <m:t>Dn</m:t>
                </m:r>
              </m:e>
            </m:nary>
          </m:den>
        </m:f>
      </m:oMath>
      <w:r>
        <w:rPr>
          <w:rFonts w:ascii="Times New Roman" w:eastAsia="Times New Roman" w:hAnsi="Times New Roman" w:cs="B Nazanin"/>
          <w:iCs/>
          <w:noProof/>
          <w:szCs w:val="24"/>
          <w:lang w:bidi="fa-IR"/>
        </w:rPr>
        <w:t xml:space="preserve">                                                                             (1)</w:t>
      </w:r>
    </w:p>
    <w:p>
      <w:pPr>
        <w:spacing w:before="100" w:beforeAutospacing="1" w:after="100" w:afterAutospacing="1" w:line="240" w:lineRule="auto"/>
        <w:jc w:val="both"/>
        <w:rPr>
          <w:rFonts w:ascii="Times New Roman" w:eastAsia="Calibri" w:hAnsi="Times New Roman" w:cs="Times New Roman"/>
          <w:sz w:val="24"/>
          <w:szCs w:val="24"/>
          <w:lang w:bidi="fa-IR"/>
        </w:rPr>
      </w:pPr>
      <w:r>
        <w:rPr>
          <w:rFonts w:ascii="Times New Roman" w:eastAsia="Calibri" w:hAnsi="Times New Roman" w:cs="Times New Roman"/>
          <w:sz w:val="24"/>
          <w:szCs w:val="24"/>
          <w:lang w:bidi="fa-IR"/>
        </w:rPr>
        <w:lastRenderedPageBreak/>
        <w:t xml:space="preserve">Where </w:t>
      </w:r>
      <m:oMath>
        <m:acc>
          <m:accPr>
            <m:chr m:val="̅"/>
            <m:ctrlPr>
              <w:rPr>
                <w:rFonts w:ascii="Cambria Math" w:eastAsia="Times New Roman" w:hAnsi="Cambria Math" w:cstheme="majorBidi"/>
                <w:iCs/>
                <w:noProof/>
                <w:szCs w:val="24"/>
                <w:lang w:bidi="fa-IR"/>
              </w:rPr>
            </m:ctrlPr>
          </m:accPr>
          <m:e>
            <m:r>
              <m:rPr>
                <m:sty m:val="p"/>
              </m:rPr>
              <w:rPr>
                <w:rFonts w:ascii="Cambria Math" w:eastAsia="Times New Roman" w:hAnsi="Cambria Math" w:cstheme="majorBidi"/>
                <w:noProof/>
                <w:szCs w:val="24"/>
                <w:lang w:bidi="fa-IR"/>
              </w:rPr>
              <m:t>R</m:t>
            </m:r>
          </m:e>
        </m:acc>
      </m:oMath>
      <w:r>
        <w:rPr>
          <w:rFonts w:ascii="Times New Roman" w:eastAsia="Calibri" w:hAnsi="Times New Roman" w:cs="Times New Roman"/>
          <w:sz w:val="24"/>
          <w:szCs w:val="24"/>
          <w:lang w:bidi="fa-IR"/>
        </w:rPr>
        <w:t xml:space="preserve"> is Average germination rate, D is day number from the beginning of the germination test, n is the number of germinated seeds per day.</w:t>
      </w:r>
    </w:p>
    <w:p>
      <w:pPr>
        <w:spacing w:before="100" w:beforeAutospacing="1" w:after="100" w:afterAutospacing="1" w:line="240" w:lineRule="auto"/>
        <w:jc w:val="both"/>
        <w:rPr>
          <w:rFonts w:ascii="Times New Roman" w:eastAsia="Calibri" w:hAnsi="Times New Roman" w:cs="Times New Roman"/>
          <w:i/>
          <w:iCs/>
          <w:lang w:bidi="fa-IR"/>
        </w:rPr>
      </w:pPr>
      <w:r>
        <w:rPr>
          <w:rFonts w:ascii="Times New Roman" w:eastAsia="Calibri" w:hAnsi="Times New Roman" w:cs="Times New Roman"/>
          <w:i/>
          <w:iCs/>
          <w:lang w:bidi="fa-IR"/>
        </w:rPr>
        <w:t>2-4- Figures and Tables</w:t>
      </w:r>
    </w:p>
    <w:p>
      <w:pPr>
        <w:spacing w:before="100" w:beforeAutospacing="1" w:after="100" w:afterAutospacing="1" w:line="240" w:lineRule="auto"/>
        <w:jc w:val="both"/>
        <w:rPr>
          <w:rFonts w:ascii="Times New Roman" w:eastAsia="Calibri" w:hAnsi="Times New Roman" w:cs="Times New Roman"/>
          <w:sz w:val="24"/>
          <w:szCs w:val="24"/>
          <w:lang w:bidi="fa-IR"/>
        </w:rPr>
      </w:pPr>
      <w:r>
        <w:rPr>
          <w:rFonts w:ascii="Times New Roman" w:eastAsia="Calibri" w:hAnsi="Times New Roman" w:cs="Times New Roman"/>
          <w:sz w:val="24"/>
          <w:szCs w:val="24"/>
          <w:lang w:bidi="fa-IR"/>
        </w:rPr>
        <w:t xml:space="preserve">All figures and tables should be included in the text and the closest place to the first mention in the context. Figures and tables will be placed in the middle of the lines (center alignment). Figures must have sufficient resolution and be so-called: high quality. Letters, signs and titles must be legible and chosen in a size that is separable and selected. If you are including tables, it is essential to identify the quantity and unit of each axis in the figure. Each figure or table contains a sequence number which is independent and has to be mentioned inside the text. Also each figure or table contains an independent caption which should be written below or above the table with the font (Times New Roman 10pt in Bold). If the </w:t>
      </w:r>
      <w:bookmarkStart w:id="6" w:name="OLE_LINK11"/>
      <w:r>
        <w:rPr>
          <w:rFonts w:ascii="Times New Roman" w:eastAsia="Calibri" w:hAnsi="Times New Roman" w:cs="Times New Roman"/>
          <w:sz w:val="24"/>
          <w:szCs w:val="24"/>
          <w:lang w:bidi="fa-IR"/>
        </w:rPr>
        <w:t>figure</w:t>
      </w:r>
      <w:bookmarkEnd w:id="6"/>
      <w:r>
        <w:rPr>
          <w:rFonts w:ascii="Times New Roman" w:eastAsia="Calibri" w:hAnsi="Times New Roman" w:cs="Times New Roman"/>
          <w:sz w:val="24"/>
          <w:szCs w:val="24"/>
          <w:lang w:bidi="fa-IR"/>
        </w:rPr>
        <w:t xml:space="preserve"> or table of the research is not ready yet, and if it is taken from a specific reference, the number of reference has to be mentioned in brackets at the bottom of the figure or the table. For </w:t>
      </w:r>
      <w:proofErr w:type="gramStart"/>
      <w:r>
        <w:rPr>
          <w:rFonts w:ascii="Times New Roman" w:eastAsia="Calibri" w:hAnsi="Times New Roman" w:cs="Times New Roman"/>
          <w:sz w:val="24"/>
          <w:szCs w:val="24"/>
          <w:lang w:bidi="fa-IR"/>
        </w:rPr>
        <w:t>instance</w:t>
      </w:r>
      <w:proofErr w:type="gramEnd"/>
      <w:r>
        <w:rPr>
          <w:rFonts w:ascii="Times New Roman" w:eastAsia="Calibri" w:hAnsi="Times New Roman" w:cs="Times New Roman"/>
          <w:sz w:val="24"/>
          <w:szCs w:val="24"/>
          <w:lang w:bidi="fa-IR"/>
        </w:rPr>
        <w:t xml:space="preserve"> see table 1 and figure 1 and 2 as below:</w:t>
      </w:r>
    </w:p>
    <w:p>
      <w:pPr>
        <w:spacing w:before="2640" w:after="100" w:afterAutospacing="1" w:line="240" w:lineRule="auto"/>
        <w:jc w:val="center"/>
        <w:rPr>
          <w:rFonts w:ascii="Times New Roman" w:eastAsia="Calibri" w:hAnsi="Times New Roman" w:cs="Times New Roman"/>
          <w:b/>
          <w:bCs/>
          <w:sz w:val="18"/>
          <w:szCs w:val="18"/>
        </w:rPr>
      </w:pPr>
      <w:r>
        <w:rPr>
          <w:rFonts w:ascii="Times New Roman" w:eastAsia="Calibri" w:hAnsi="Times New Roman" w:cs="Times New Roman"/>
          <w:b/>
          <w:bCs/>
          <w:sz w:val="20"/>
          <w:szCs w:val="20"/>
          <w:lang w:bidi="fa-IR"/>
        </w:rPr>
        <w:t xml:space="preserve">Table 1- Populations of </w:t>
      </w:r>
      <w:proofErr w:type="spellStart"/>
      <w:r>
        <w:rPr>
          <w:rFonts w:ascii="Times New Roman" w:eastAsia="Calibri" w:hAnsi="Times New Roman" w:cs="Times New Roman"/>
          <w:b/>
          <w:bCs/>
          <w:i/>
          <w:iCs/>
          <w:sz w:val="20"/>
          <w:szCs w:val="20"/>
          <w:lang w:bidi="fa-IR"/>
        </w:rPr>
        <w:t>Trichoderma</w:t>
      </w:r>
      <w:proofErr w:type="spellEnd"/>
      <w:r>
        <w:rPr>
          <w:rFonts w:ascii="Times New Roman" w:eastAsia="Calibri" w:hAnsi="Times New Roman" w:cs="Times New Roman"/>
          <w:b/>
          <w:bCs/>
          <w:i/>
          <w:iCs/>
          <w:sz w:val="20"/>
          <w:szCs w:val="20"/>
          <w:lang w:bidi="fa-IR"/>
        </w:rPr>
        <w:t xml:space="preserve"> </w:t>
      </w:r>
      <w:proofErr w:type="spellStart"/>
      <w:r>
        <w:rPr>
          <w:rFonts w:ascii="Times New Roman" w:eastAsia="Calibri" w:hAnsi="Times New Roman" w:cs="Times New Roman"/>
          <w:b/>
          <w:bCs/>
          <w:i/>
          <w:iCs/>
          <w:sz w:val="20"/>
          <w:szCs w:val="20"/>
          <w:lang w:bidi="fa-IR"/>
        </w:rPr>
        <w:t>harzianum</w:t>
      </w:r>
      <w:proofErr w:type="spellEnd"/>
      <w:r>
        <w:rPr>
          <w:rFonts w:ascii="Times New Roman" w:eastAsia="Calibri" w:hAnsi="Times New Roman" w:cs="Times New Roman"/>
          <w:b/>
          <w:bCs/>
          <w:sz w:val="20"/>
          <w:szCs w:val="20"/>
          <w:lang w:bidi="fa-IR"/>
        </w:rPr>
        <w:t xml:space="preserve"> isolate T22, recovered from rhizosphere soil of hairy vetch plants after final harvest</w:t>
      </w: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3967"/>
      </w:tblGrid>
      <w:tr>
        <w:trPr>
          <w:jc w:val="center"/>
        </w:trPr>
        <w:tc>
          <w:tcPr>
            <w:tcW w:w="2667" w:type="pct"/>
            <w:tcBorders>
              <w:top w:val="single" w:sz="4" w:space="0" w:color="auto"/>
              <w:bottom w:val="single" w:sz="4" w:space="0" w:color="auto"/>
            </w:tcBorders>
            <w:vAlign w:val="center"/>
          </w:tcPr>
          <w:p>
            <w:pPr>
              <w:rPr>
                <w:rFonts w:ascii="Times New Roman" w:eastAsia="Calibri" w:hAnsi="Times New Roman" w:cs="Times New Roman"/>
                <w:b/>
                <w:bCs/>
                <w:sz w:val="20"/>
                <w:szCs w:val="20"/>
                <w:lang w:bidi="fa-IR"/>
              </w:rPr>
            </w:pPr>
            <w:r>
              <w:rPr>
                <w:rFonts w:ascii="Times New Roman" w:eastAsia="Calibri" w:hAnsi="Times New Roman" w:cs="Times New Roman"/>
                <w:b/>
                <w:bCs/>
                <w:sz w:val="20"/>
                <w:szCs w:val="20"/>
                <w:lang w:bidi="fa-IR"/>
              </w:rPr>
              <w:t>Treatment combinations</w:t>
            </w:r>
            <w:r>
              <w:rPr>
                <w:rFonts w:ascii="Times New Roman" w:eastAsia="Calibri" w:hAnsi="Times New Roman" w:cs="Times New Roman"/>
                <w:b/>
                <w:bCs/>
                <w:sz w:val="20"/>
                <w:szCs w:val="20"/>
                <w:vertAlign w:val="superscript"/>
                <w:lang w:bidi="fa-IR"/>
              </w:rPr>
              <w:t>§</w:t>
            </w:r>
          </w:p>
        </w:tc>
        <w:tc>
          <w:tcPr>
            <w:tcW w:w="2333" w:type="pct"/>
            <w:tcBorders>
              <w:top w:val="single" w:sz="4" w:space="0" w:color="auto"/>
              <w:bottom w:val="single" w:sz="4" w:space="0" w:color="auto"/>
            </w:tcBorders>
            <w:vAlign w:val="center"/>
          </w:tcPr>
          <w:p>
            <w:pPr>
              <w:jc w:val="center"/>
              <w:rPr>
                <w:rFonts w:ascii="Times New Roman" w:eastAsia="Calibri" w:hAnsi="Times New Roman" w:cs="Times New Roman"/>
                <w:b/>
                <w:bCs/>
                <w:sz w:val="20"/>
                <w:szCs w:val="20"/>
                <w:lang w:bidi="fa-IR"/>
              </w:rPr>
            </w:pPr>
            <w:r>
              <w:rPr>
                <w:rFonts w:ascii="Times New Roman" w:eastAsia="Calibri" w:hAnsi="Times New Roman" w:cs="Times New Roman"/>
                <w:b/>
                <w:bCs/>
                <w:sz w:val="20"/>
                <w:szCs w:val="20"/>
                <w:lang w:bidi="fa-IR"/>
              </w:rPr>
              <w:t>Mean population</w:t>
            </w:r>
            <w:r>
              <w:rPr>
                <w:rFonts w:ascii="Times New Roman" w:eastAsia="Calibri" w:hAnsi="Times New Roman" w:cs="Times New Roman"/>
                <w:b/>
                <w:bCs/>
                <w:sz w:val="20"/>
                <w:szCs w:val="20"/>
                <w:vertAlign w:val="superscript"/>
                <w:lang w:bidi="fa-IR"/>
              </w:rPr>
              <w:t>¶</w:t>
            </w:r>
          </w:p>
          <w:p>
            <w:pPr>
              <w:jc w:val="center"/>
              <w:rPr>
                <w:rFonts w:ascii="Times New Roman" w:eastAsia="Calibri" w:hAnsi="Times New Roman" w:cs="Times New Roman"/>
                <w:sz w:val="20"/>
                <w:szCs w:val="20"/>
                <w:lang w:bidi="fa-IR"/>
              </w:rPr>
            </w:pPr>
            <w:r>
              <w:rPr>
                <w:rFonts w:ascii="Times New Roman" w:eastAsia="Calibri" w:hAnsi="Times New Roman" w:cs="Times New Roman"/>
                <w:sz w:val="20"/>
                <w:szCs w:val="20"/>
                <w:lang w:bidi="fa-IR"/>
              </w:rPr>
              <w:t>(Log CFU/g fresh root)</w:t>
            </w:r>
          </w:p>
        </w:tc>
      </w:tr>
      <w:tr>
        <w:trPr>
          <w:jc w:val="center"/>
        </w:trPr>
        <w:tc>
          <w:tcPr>
            <w:tcW w:w="2667" w:type="pct"/>
            <w:tcBorders>
              <w:top w:val="single" w:sz="4" w:space="0" w:color="auto"/>
            </w:tcBorders>
            <w:vAlign w:val="center"/>
          </w:tcPr>
          <w:p>
            <w:pPr>
              <w:rPr>
                <w:rFonts w:ascii="Times New Roman" w:eastAsia="Calibri" w:hAnsi="Times New Roman" w:cs="Times New Roman"/>
                <w:b/>
                <w:bCs/>
                <w:sz w:val="20"/>
                <w:szCs w:val="20"/>
                <w:lang w:bidi="fa-IR"/>
              </w:rPr>
            </w:pPr>
            <w:r>
              <w:rPr>
                <w:rFonts w:ascii="Times New Roman" w:eastAsia="Calibri" w:hAnsi="Times New Roman" w:cs="Times New Roman"/>
                <w:b/>
                <w:bCs/>
                <w:sz w:val="20"/>
                <w:szCs w:val="20"/>
                <w:lang w:bidi="fa-IR"/>
              </w:rPr>
              <w:t>0P (control)</w:t>
            </w:r>
          </w:p>
        </w:tc>
        <w:tc>
          <w:tcPr>
            <w:tcW w:w="2333" w:type="pct"/>
            <w:tcBorders>
              <w:top w:val="single" w:sz="4" w:space="0" w:color="auto"/>
            </w:tcBorders>
            <w:vAlign w:val="center"/>
          </w:tcPr>
          <w:p>
            <w:pPr>
              <w:jc w:val="center"/>
              <w:rPr>
                <w:rFonts w:ascii="Times New Roman" w:eastAsia="Calibri" w:hAnsi="Times New Roman" w:cs="Times New Roman"/>
                <w:sz w:val="20"/>
                <w:szCs w:val="20"/>
              </w:rPr>
            </w:pPr>
            <w:r>
              <w:rPr>
                <w:rFonts w:ascii="Times New Roman" w:eastAsia="Calibri" w:hAnsi="Times New Roman" w:cs="Times New Roman"/>
                <w:sz w:val="20"/>
                <w:szCs w:val="20"/>
              </w:rPr>
              <w:t>4.15 ± 0.32 c</w:t>
            </w:r>
          </w:p>
        </w:tc>
      </w:tr>
      <w:tr>
        <w:trPr>
          <w:jc w:val="center"/>
        </w:trPr>
        <w:tc>
          <w:tcPr>
            <w:tcW w:w="2667" w:type="pct"/>
            <w:vAlign w:val="center"/>
          </w:tcPr>
          <w:p>
            <w:pPr>
              <w:rPr>
                <w:rFonts w:ascii="Times New Roman" w:eastAsia="Calibri" w:hAnsi="Times New Roman" w:cs="Times New Roman"/>
                <w:b/>
                <w:bCs/>
                <w:sz w:val="20"/>
                <w:szCs w:val="20"/>
                <w:lang w:bidi="fa-IR"/>
              </w:rPr>
            </w:pPr>
            <w:r>
              <w:rPr>
                <w:rFonts w:ascii="Times New Roman" w:eastAsia="Calibri" w:hAnsi="Times New Roman" w:cs="Times New Roman"/>
                <w:b/>
                <w:bCs/>
                <w:sz w:val="20"/>
                <w:szCs w:val="20"/>
                <w:lang w:bidi="fa-IR"/>
              </w:rPr>
              <w:t>11P</w:t>
            </w:r>
          </w:p>
        </w:tc>
        <w:tc>
          <w:tcPr>
            <w:tcW w:w="2333" w:type="pct"/>
            <w:vAlign w:val="center"/>
          </w:tcPr>
          <w:p>
            <w:pPr>
              <w:jc w:val="center"/>
              <w:rPr>
                <w:rFonts w:ascii="Times New Roman" w:eastAsia="Calibri" w:hAnsi="Times New Roman" w:cs="Times New Roman"/>
                <w:sz w:val="20"/>
                <w:szCs w:val="20"/>
              </w:rPr>
            </w:pPr>
            <w:r>
              <w:rPr>
                <w:rFonts w:ascii="Times New Roman" w:eastAsia="Calibri" w:hAnsi="Times New Roman" w:cs="Times New Roman"/>
                <w:sz w:val="20"/>
                <w:szCs w:val="20"/>
              </w:rPr>
              <w:t>4.35 ± 0.69 c</w:t>
            </w:r>
          </w:p>
        </w:tc>
      </w:tr>
      <w:tr>
        <w:trPr>
          <w:jc w:val="center"/>
        </w:trPr>
        <w:tc>
          <w:tcPr>
            <w:tcW w:w="2667" w:type="pct"/>
            <w:vAlign w:val="center"/>
          </w:tcPr>
          <w:p>
            <w:pPr>
              <w:rPr>
                <w:rFonts w:ascii="Times New Roman" w:eastAsia="Calibri" w:hAnsi="Times New Roman" w:cs="Times New Roman"/>
                <w:b/>
                <w:bCs/>
                <w:sz w:val="20"/>
                <w:szCs w:val="20"/>
                <w:lang w:bidi="fa-IR"/>
              </w:rPr>
            </w:pPr>
            <w:r>
              <w:rPr>
                <w:rFonts w:ascii="Times New Roman" w:eastAsia="Calibri" w:hAnsi="Times New Roman" w:cs="Times New Roman"/>
                <w:b/>
                <w:bCs/>
                <w:sz w:val="20"/>
                <w:szCs w:val="20"/>
                <w:lang w:bidi="fa-IR"/>
              </w:rPr>
              <w:t>22P</w:t>
            </w:r>
          </w:p>
        </w:tc>
        <w:tc>
          <w:tcPr>
            <w:tcW w:w="2333" w:type="pct"/>
            <w:vAlign w:val="center"/>
          </w:tcPr>
          <w:p>
            <w:pPr>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4.90 ± 0.44 </w:t>
            </w:r>
            <w:proofErr w:type="spellStart"/>
            <w:r>
              <w:rPr>
                <w:rFonts w:ascii="Times New Roman" w:eastAsia="Calibri" w:hAnsi="Times New Roman" w:cs="Times New Roman"/>
                <w:sz w:val="20"/>
                <w:szCs w:val="20"/>
              </w:rPr>
              <w:t>bc</w:t>
            </w:r>
            <w:proofErr w:type="spellEnd"/>
          </w:p>
        </w:tc>
      </w:tr>
      <w:tr>
        <w:trPr>
          <w:jc w:val="center"/>
        </w:trPr>
        <w:tc>
          <w:tcPr>
            <w:tcW w:w="2667" w:type="pct"/>
            <w:vAlign w:val="center"/>
          </w:tcPr>
          <w:p>
            <w:pPr>
              <w:rPr>
                <w:rFonts w:ascii="Times New Roman" w:eastAsia="Calibri" w:hAnsi="Times New Roman" w:cs="Times New Roman"/>
                <w:b/>
                <w:bCs/>
                <w:sz w:val="20"/>
                <w:szCs w:val="20"/>
                <w:lang w:bidi="fa-IR"/>
              </w:rPr>
            </w:pPr>
            <w:r>
              <w:rPr>
                <w:rFonts w:ascii="Times New Roman" w:eastAsia="Calibri" w:hAnsi="Times New Roman" w:cs="Times New Roman"/>
                <w:b/>
                <w:bCs/>
                <w:sz w:val="20"/>
                <w:szCs w:val="20"/>
                <w:lang w:bidi="fa-IR"/>
              </w:rPr>
              <w:t>B-0P</w:t>
            </w:r>
          </w:p>
        </w:tc>
        <w:tc>
          <w:tcPr>
            <w:tcW w:w="2333" w:type="pct"/>
            <w:vAlign w:val="center"/>
          </w:tcPr>
          <w:p>
            <w:pPr>
              <w:jc w:val="center"/>
              <w:rPr>
                <w:rFonts w:ascii="Times New Roman" w:eastAsia="Calibri" w:hAnsi="Times New Roman" w:cs="Times New Roman"/>
                <w:sz w:val="20"/>
                <w:szCs w:val="20"/>
              </w:rPr>
            </w:pPr>
            <w:r>
              <w:rPr>
                <w:rFonts w:ascii="Times New Roman" w:eastAsia="Calibri" w:hAnsi="Times New Roman" w:cs="Times New Roman"/>
                <w:sz w:val="20"/>
                <w:szCs w:val="20"/>
              </w:rPr>
              <w:t>5.26 ± 0.94 b</w:t>
            </w:r>
          </w:p>
        </w:tc>
      </w:tr>
      <w:tr>
        <w:trPr>
          <w:jc w:val="center"/>
        </w:trPr>
        <w:tc>
          <w:tcPr>
            <w:tcW w:w="2667" w:type="pct"/>
            <w:tcBorders>
              <w:bottom w:val="nil"/>
            </w:tcBorders>
            <w:vAlign w:val="center"/>
          </w:tcPr>
          <w:p>
            <w:pPr>
              <w:rPr>
                <w:rFonts w:ascii="Times New Roman" w:eastAsia="Calibri" w:hAnsi="Times New Roman" w:cs="Times New Roman"/>
                <w:b/>
                <w:bCs/>
                <w:sz w:val="20"/>
                <w:szCs w:val="20"/>
                <w:lang w:bidi="fa-IR"/>
              </w:rPr>
            </w:pPr>
            <w:r>
              <w:rPr>
                <w:rFonts w:ascii="Times New Roman" w:eastAsia="Calibri" w:hAnsi="Times New Roman" w:cs="Times New Roman"/>
                <w:b/>
                <w:bCs/>
                <w:sz w:val="20"/>
                <w:szCs w:val="20"/>
                <w:lang w:bidi="fa-IR"/>
              </w:rPr>
              <w:t>B-11P</w:t>
            </w:r>
          </w:p>
        </w:tc>
        <w:tc>
          <w:tcPr>
            <w:tcW w:w="2333" w:type="pct"/>
            <w:tcBorders>
              <w:bottom w:val="nil"/>
            </w:tcBorders>
            <w:vAlign w:val="center"/>
          </w:tcPr>
          <w:p>
            <w:pPr>
              <w:jc w:val="center"/>
              <w:rPr>
                <w:rFonts w:ascii="Times New Roman" w:eastAsia="Calibri" w:hAnsi="Times New Roman" w:cs="Times New Roman"/>
                <w:sz w:val="20"/>
                <w:szCs w:val="20"/>
              </w:rPr>
            </w:pPr>
            <w:r>
              <w:rPr>
                <w:rFonts w:ascii="Times New Roman" w:eastAsia="Calibri" w:hAnsi="Times New Roman" w:cs="Times New Roman"/>
                <w:sz w:val="20"/>
                <w:szCs w:val="20"/>
              </w:rPr>
              <w:t>6.24 ± 0.79 a</w:t>
            </w:r>
          </w:p>
        </w:tc>
      </w:tr>
      <w:tr>
        <w:trPr>
          <w:jc w:val="center"/>
        </w:trPr>
        <w:tc>
          <w:tcPr>
            <w:tcW w:w="2667" w:type="pct"/>
            <w:tcBorders>
              <w:top w:val="nil"/>
              <w:bottom w:val="single" w:sz="4" w:space="0" w:color="auto"/>
            </w:tcBorders>
            <w:vAlign w:val="center"/>
          </w:tcPr>
          <w:p>
            <w:pPr>
              <w:rPr>
                <w:rFonts w:ascii="Times New Roman" w:eastAsia="Calibri" w:hAnsi="Times New Roman" w:cs="Times New Roman"/>
                <w:b/>
                <w:bCs/>
                <w:sz w:val="20"/>
                <w:szCs w:val="20"/>
                <w:lang w:bidi="fa-IR"/>
              </w:rPr>
            </w:pPr>
            <w:r>
              <w:rPr>
                <w:rFonts w:ascii="Times New Roman" w:eastAsia="Calibri" w:hAnsi="Times New Roman" w:cs="Times New Roman"/>
                <w:b/>
                <w:bCs/>
                <w:sz w:val="20"/>
                <w:szCs w:val="20"/>
                <w:lang w:bidi="fa-IR"/>
              </w:rPr>
              <w:t>B-22P</w:t>
            </w:r>
          </w:p>
        </w:tc>
        <w:tc>
          <w:tcPr>
            <w:tcW w:w="2333" w:type="pct"/>
            <w:tcBorders>
              <w:top w:val="nil"/>
              <w:bottom w:val="single" w:sz="4" w:space="0" w:color="auto"/>
            </w:tcBorders>
            <w:vAlign w:val="center"/>
          </w:tcPr>
          <w:p>
            <w:pPr>
              <w:jc w:val="center"/>
              <w:rPr>
                <w:rFonts w:ascii="Times New Roman" w:eastAsia="Calibri" w:hAnsi="Times New Roman" w:cs="Times New Roman"/>
                <w:sz w:val="20"/>
                <w:szCs w:val="20"/>
              </w:rPr>
            </w:pPr>
            <w:r>
              <w:rPr>
                <w:rFonts w:ascii="Times New Roman" w:eastAsia="Calibri" w:hAnsi="Times New Roman" w:cs="Times New Roman"/>
                <w:sz w:val="20"/>
                <w:szCs w:val="20"/>
              </w:rPr>
              <w:t>6.10 ± 0.28 a</w:t>
            </w:r>
          </w:p>
        </w:tc>
      </w:tr>
    </w:tbl>
    <w:p>
      <w:pPr>
        <w:spacing w:after="0" w:line="240" w:lineRule="auto"/>
        <w:ind w:left="113" w:hanging="113"/>
        <w:jc w:val="both"/>
        <w:rPr>
          <w:rFonts w:ascii="Times New Roman" w:eastAsia="Calibri" w:hAnsi="Times New Roman" w:cs="Times New Roman"/>
          <w:sz w:val="20"/>
          <w:szCs w:val="20"/>
          <w:lang w:bidi="fa-IR"/>
        </w:rPr>
      </w:pPr>
      <w:r>
        <w:rPr>
          <w:rFonts w:ascii="Times New Roman" w:eastAsia="Calibri" w:hAnsi="Times New Roman" w:cs="Times New Roman"/>
          <w:sz w:val="20"/>
          <w:szCs w:val="20"/>
          <w:vertAlign w:val="superscript"/>
          <w:lang w:bidi="fa-IR"/>
        </w:rPr>
        <w:t>§</w:t>
      </w:r>
      <w:r>
        <w:rPr>
          <w:rFonts w:ascii="Times New Roman" w:eastAsia="Calibri" w:hAnsi="Times New Roman" w:cs="Times New Roman"/>
          <w:sz w:val="20"/>
          <w:szCs w:val="20"/>
          <w:lang w:bidi="fa-IR"/>
        </w:rPr>
        <w:t xml:space="preserve"> Three levels of P supplementation without and with </w:t>
      </w:r>
      <w:proofErr w:type="spellStart"/>
      <w:r>
        <w:rPr>
          <w:rFonts w:ascii="Times New Roman" w:eastAsia="Calibri" w:hAnsi="Times New Roman" w:cs="Times New Roman"/>
          <w:sz w:val="20"/>
          <w:szCs w:val="20"/>
          <w:lang w:bidi="fa-IR"/>
        </w:rPr>
        <w:t>biochar</w:t>
      </w:r>
      <w:proofErr w:type="spellEnd"/>
      <w:r>
        <w:rPr>
          <w:rFonts w:ascii="Times New Roman" w:eastAsia="Calibri" w:hAnsi="Times New Roman" w:cs="Times New Roman"/>
          <w:sz w:val="20"/>
          <w:szCs w:val="20"/>
          <w:lang w:bidi="fa-IR"/>
        </w:rPr>
        <w:t xml:space="preserve"> application assigned as [0P, 11P and 22P] and [B-0P, B-11P and B-22P], respectively.</w:t>
      </w:r>
    </w:p>
    <w:p>
      <w:pPr>
        <w:spacing w:after="0" w:line="240" w:lineRule="auto"/>
        <w:ind w:left="113" w:hanging="113"/>
        <w:jc w:val="both"/>
        <w:rPr>
          <w:rFonts w:ascii="Times New Roman" w:eastAsia="Calibri" w:hAnsi="Times New Roman" w:cs="Times New Roman"/>
          <w:sz w:val="20"/>
          <w:szCs w:val="20"/>
        </w:rPr>
      </w:pPr>
      <w:r>
        <w:rPr>
          <w:rFonts w:ascii="Times New Roman" w:eastAsia="Calibri" w:hAnsi="Times New Roman" w:cs="Times New Roman"/>
          <w:b/>
          <w:bCs/>
          <w:sz w:val="20"/>
          <w:szCs w:val="20"/>
          <w:vertAlign w:val="superscript"/>
          <w:lang w:bidi="fa-IR"/>
        </w:rPr>
        <w:lastRenderedPageBreak/>
        <w:t>¶</w:t>
      </w:r>
      <w:r>
        <w:rPr>
          <w:rFonts w:ascii="Times New Roman" w:eastAsia="Calibri" w:hAnsi="Times New Roman" w:cs="Times New Roman"/>
          <w:sz w:val="20"/>
          <w:szCs w:val="20"/>
        </w:rPr>
        <w:t xml:space="preserve"> </w:t>
      </w:r>
      <w:r>
        <w:rPr>
          <w:rFonts w:ascii="Times New Roman" w:eastAsia="Calibri" w:hAnsi="Times New Roman" w:cs="Times New Roman"/>
          <w:sz w:val="20"/>
          <w:szCs w:val="20"/>
          <w:lang w:bidi="fa-IR"/>
        </w:rPr>
        <w:t xml:space="preserve">Data represent the average of three replicates (n= 3) ± standard error. </w:t>
      </w:r>
      <w:r>
        <w:rPr>
          <w:rFonts w:ascii="Times New Roman" w:eastAsia="Calibri" w:hAnsi="Times New Roman" w:cs="Times New Roman"/>
          <w:sz w:val="20"/>
          <w:szCs w:val="20"/>
        </w:rPr>
        <w:t>Means followed by the same letter are not significantly different according to Fisher’s protected LSD (P≤ 0.05).</w:t>
      </w:r>
    </w:p>
    <w:p>
      <w:pPr>
        <w:spacing w:before="100" w:beforeAutospacing="1" w:after="100" w:afterAutospacing="1" w:line="240" w:lineRule="auto"/>
        <w:jc w:val="center"/>
        <w:rPr>
          <w:rFonts w:ascii="Times New Roman" w:eastAsia="Calibri" w:hAnsi="Times New Roman" w:cs="Times New Roman"/>
          <w:b/>
          <w:bCs/>
          <w:sz w:val="20"/>
          <w:szCs w:val="20"/>
          <w:lang w:bidi="fa-IR"/>
        </w:rPr>
      </w:pPr>
      <w:r>
        <w:rPr>
          <w:rFonts w:ascii="Calibri" w:eastAsia="Calibri" w:hAnsi="Calibri" w:cs="Arial"/>
          <w:noProof/>
          <w:lang w:bidi="fa-IR"/>
        </w:rPr>
        <w:drawing>
          <wp:inline distT="0" distB="0" distL="0" distR="0">
            <wp:extent cx="6332220" cy="4290447"/>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32220" cy="4290447"/>
                    </a:xfrm>
                    <a:prstGeom prst="rect">
                      <a:avLst/>
                    </a:prstGeom>
                    <a:noFill/>
                    <a:ln>
                      <a:noFill/>
                    </a:ln>
                  </pic:spPr>
                </pic:pic>
              </a:graphicData>
            </a:graphic>
          </wp:inline>
        </w:drawing>
      </w:r>
    </w:p>
    <w:p>
      <w:pPr>
        <w:spacing w:before="100" w:beforeAutospacing="1" w:after="100" w:afterAutospacing="1"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lang w:bidi="fa-IR"/>
        </w:rPr>
        <w:t xml:space="preserve">Fig. 1- Effects of </w:t>
      </w:r>
      <w:proofErr w:type="spellStart"/>
      <w:r>
        <w:rPr>
          <w:rFonts w:ascii="Times New Roman" w:eastAsia="Calibri" w:hAnsi="Times New Roman" w:cs="Times New Roman"/>
          <w:b/>
          <w:bCs/>
          <w:sz w:val="20"/>
          <w:szCs w:val="20"/>
          <w:lang w:bidi="fa-IR"/>
        </w:rPr>
        <w:t>biochar</w:t>
      </w:r>
      <w:proofErr w:type="spellEnd"/>
      <w:r>
        <w:rPr>
          <w:rFonts w:ascii="Times New Roman" w:eastAsia="Calibri" w:hAnsi="Times New Roman" w:cs="Times New Roman"/>
          <w:b/>
          <w:bCs/>
          <w:sz w:val="20"/>
          <w:szCs w:val="20"/>
          <w:lang w:bidi="fa-IR"/>
        </w:rPr>
        <w:t xml:space="preserve"> and </w:t>
      </w:r>
      <w:proofErr w:type="spellStart"/>
      <w:r>
        <w:rPr>
          <w:rFonts w:ascii="Times New Roman" w:eastAsia="Calibri" w:hAnsi="Times New Roman" w:cs="Times New Roman"/>
          <w:b/>
          <w:bCs/>
          <w:i/>
          <w:iCs/>
          <w:sz w:val="20"/>
          <w:szCs w:val="20"/>
          <w:lang w:bidi="fa-IR"/>
        </w:rPr>
        <w:t>Trichoderma</w:t>
      </w:r>
      <w:proofErr w:type="spellEnd"/>
      <w:r>
        <w:rPr>
          <w:rFonts w:ascii="Times New Roman" w:eastAsia="Calibri" w:hAnsi="Times New Roman" w:cs="Times New Roman"/>
          <w:b/>
          <w:bCs/>
          <w:i/>
          <w:iCs/>
          <w:sz w:val="20"/>
          <w:szCs w:val="20"/>
          <w:lang w:bidi="fa-IR"/>
        </w:rPr>
        <w:t xml:space="preserve"> </w:t>
      </w:r>
      <w:r>
        <w:rPr>
          <w:rFonts w:ascii="Times New Roman" w:eastAsia="Calibri" w:hAnsi="Times New Roman" w:cs="Times New Roman"/>
          <w:b/>
          <w:bCs/>
          <w:sz w:val="20"/>
          <w:szCs w:val="20"/>
          <w:lang w:bidi="fa-IR"/>
        </w:rPr>
        <w:t xml:space="preserve">on root volume, leaf MDA content (A) and CAT and POX activity (B). Effects of </w:t>
      </w:r>
      <w:proofErr w:type="spellStart"/>
      <w:r>
        <w:rPr>
          <w:rFonts w:ascii="Times New Roman" w:eastAsia="Calibri" w:hAnsi="Times New Roman" w:cs="Times New Roman"/>
          <w:b/>
          <w:bCs/>
          <w:sz w:val="20"/>
          <w:szCs w:val="20"/>
          <w:lang w:bidi="fa-IR"/>
        </w:rPr>
        <w:t>biochar</w:t>
      </w:r>
      <w:proofErr w:type="spellEnd"/>
      <w:r>
        <w:rPr>
          <w:rFonts w:ascii="Times New Roman" w:eastAsia="Calibri" w:hAnsi="Times New Roman" w:cs="Times New Roman"/>
          <w:b/>
          <w:bCs/>
          <w:sz w:val="20"/>
          <w:szCs w:val="20"/>
          <w:lang w:bidi="fa-IR"/>
        </w:rPr>
        <w:t xml:space="preserve"> and P supplementation on POX activity (C) and soil Olsen-P (D). Means ± S.E. </w:t>
      </w:r>
      <w:r>
        <w:rPr>
          <w:rFonts w:ascii="Times New Roman" w:eastAsia="Calibri" w:hAnsi="Times New Roman" w:cs="Times New Roman"/>
          <w:b/>
          <w:bCs/>
          <w:sz w:val="20"/>
          <w:szCs w:val="20"/>
        </w:rPr>
        <w:t xml:space="preserve">Columns followed by the same letter are not significantly different according to Fisher’s protected LSD (P≤ 0.05). NS, * and ** denote non-significant and significant at 5 and 1% levels, respectively. CV represents coefficient of variation.  </w:t>
      </w:r>
      <w:r>
        <w:rPr>
          <w:rFonts w:ascii="Times New Roman" w:eastAsia="Calibri" w:hAnsi="Times New Roman" w:cs="Times New Roman"/>
          <w:b/>
          <w:bCs/>
          <w:i/>
          <w:iCs/>
          <w:sz w:val="20"/>
          <w:szCs w:val="20"/>
        </w:rPr>
        <w:t>MDA</w:t>
      </w:r>
      <w:r>
        <w:rPr>
          <w:rFonts w:ascii="Times New Roman" w:eastAsia="Calibri" w:hAnsi="Times New Roman" w:cs="Times New Roman"/>
          <w:b/>
          <w:bCs/>
          <w:sz w:val="20"/>
          <w:szCs w:val="20"/>
        </w:rPr>
        <w:t xml:space="preserve"> </w:t>
      </w:r>
      <w:proofErr w:type="spellStart"/>
      <w:r>
        <w:rPr>
          <w:rFonts w:ascii="Times New Roman" w:eastAsia="Calibri" w:hAnsi="Times New Roman" w:cs="Times New Roman"/>
          <w:b/>
          <w:bCs/>
          <w:sz w:val="20"/>
          <w:szCs w:val="20"/>
        </w:rPr>
        <w:t>malondialdehyde</w:t>
      </w:r>
      <w:proofErr w:type="spellEnd"/>
      <w:r>
        <w:rPr>
          <w:rFonts w:ascii="Times New Roman" w:eastAsia="Calibri" w:hAnsi="Times New Roman" w:cs="Times New Roman"/>
          <w:b/>
          <w:bCs/>
          <w:sz w:val="20"/>
          <w:szCs w:val="20"/>
        </w:rPr>
        <w:t xml:space="preserve">; </w:t>
      </w:r>
      <w:r>
        <w:rPr>
          <w:rFonts w:ascii="Times New Roman" w:eastAsia="Calibri" w:hAnsi="Times New Roman" w:cs="Times New Roman"/>
          <w:b/>
          <w:bCs/>
          <w:i/>
          <w:iCs/>
          <w:sz w:val="20"/>
          <w:szCs w:val="20"/>
        </w:rPr>
        <w:t>CAT</w:t>
      </w:r>
      <w:r>
        <w:rPr>
          <w:rFonts w:ascii="Times New Roman" w:eastAsia="Calibri" w:hAnsi="Times New Roman" w:cs="Times New Roman"/>
          <w:b/>
          <w:bCs/>
          <w:sz w:val="20"/>
          <w:szCs w:val="20"/>
        </w:rPr>
        <w:t xml:space="preserve"> catalase; </w:t>
      </w:r>
      <w:r>
        <w:rPr>
          <w:rFonts w:ascii="Times New Roman" w:eastAsia="Calibri" w:hAnsi="Times New Roman" w:cs="Times New Roman"/>
          <w:b/>
          <w:bCs/>
          <w:i/>
          <w:iCs/>
          <w:sz w:val="20"/>
          <w:szCs w:val="20"/>
        </w:rPr>
        <w:t>POX</w:t>
      </w:r>
      <w:r>
        <w:rPr>
          <w:rFonts w:ascii="Times New Roman" w:eastAsia="Calibri" w:hAnsi="Times New Roman" w:cs="Times New Roman"/>
          <w:b/>
          <w:bCs/>
          <w:sz w:val="20"/>
          <w:szCs w:val="20"/>
        </w:rPr>
        <w:t xml:space="preserve"> peroxidase; </w:t>
      </w:r>
      <w:r>
        <w:rPr>
          <w:rFonts w:ascii="Times New Roman" w:eastAsia="Calibri" w:hAnsi="Times New Roman" w:cs="Times New Roman"/>
          <w:b/>
          <w:bCs/>
          <w:i/>
          <w:iCs/>
          <w:sz w:val="20"/>
          <w:szCs w:val="20"/>
        </w:rPr>
        <w:t>FW</w:t>
      </w:r>
      <w:r>
        <w:rPr>
          <w:rFonts w:ascii="Times New Roman" w:eastAsia="Calibri" w:hAnsi="Times New Roman" w:cs="Times New Roman"/>
          <w:b/>
          <w:bCs/>
          <w:sz w:val="20"/>
          <w:szCs w:val="20"/>
        </w:rPr>
        <w:t xml:space="preserve"> fresh weight</w:t>
      </w:r>
    </w:p>
    <w:p>
      <w:pPr>
        <w:spacing w:before="100" w:beforeAutospacing="1" w:after="100" w:afterAutospacing="1" w:line="240" w:lineRule="auto"/>
        <w:jc w:val="center"/>
        <w:rPr>
          <w:rFonts w:ascii="Calibri" w:eastAsia="Calibri" w:hAnsi="Calibri" w:cs="Arial"/>
          <w:lang w:bidi="fa-IR"/>
        </w:rPr>
      </w:pPr>
    </w:p>
    <w:p>
      <w:pPr>
        <w:spacing w:before="100" w:beforeAutospacing="1" w:after="100" w:afterAutospacing="1" w:line="240" w:lineRule="auto"/>
        <w:jc w:val="both"/>
        <w:rPr>
          <w:rFonts w:ascii="Calibri" w:eastAsia="Calibri" w:hAnsi="Calibri" w:cs="Arial"/>
          <w:lang w:bidi="fa-IR"/>
        </w:rPr>
      </w:pPr>
      <w:r>
        <w:rPr>
          <w:rFonts w:ascii="Calibri" w:eastAsia="Calibri" w:hAnsi="Calibri" w:cs="Arial"/>
          <w:noProof/>
          <w:lang w:bidi="fa-IR"/>
        </w:rPr>
        <w:lastRenderedPageBreak/>
        <w:drawing>
          <wp:inline distT="0" distB="0" distL="0" distR="0">
            <wp:extent cx="1676400" cy="1806789"/>
            <wp:effectExtent l="0" t="0" r="0" b="3175"/>
            <wp:docPr id="7" name="Picture 7" descr="Phenom prox - Azaruniv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enom prox - Azaruniv00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79552" cy="1810186"/>
                    </a:xfrm>
                    <a:prstGeom prst="rect">
                      <a:avLst/>
                    </a:prstGeom>
                    <a:noFill/>
                    <a:ln>
                      <a:noFill/>
                    </a:ln>
                  </pic:spPr>
                </pic:pic>
              </a:graphicData>
            </a:graphic>
          </wp:inline>
        </w:drawing>
      </w:r>
      <w:r>
        <w:rPr>
          <w:rFonts w:ascii="Calibri" w:eastAsia="Calibri" w:hAnsi="Calibri" w:cs="Arial"/>
          <w:noProof/>
          <w:lang w:bidi="fa-IR"/>
        </w:rPr>
        <w:drawing>
          <wp:inline distT="0" distB="0" distL="0" distR="0">
            <wp:extent cx="4081463" cy="1632585"/>
            <wp:effectExtent l="0" t="0" r="0" b="5715"/>
            <wp:docPr id="8" name="1. region (spect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region (spectrum)"/>
                    <pic:cNvPicPr/>
                  </pic:nvPicPr>
                  <pic:blipFill>
                    <a:blip r:embed="rId12" cstate="print"/>
                    <a:stretch>
                      <a:fillRect/>
                    </a:stretch>
                  </pic:blipFill>
                  <pic:spPr>
                    <a:xfrm>
                      <a:off x="0" y="0"/>
                      <a:ext cx="4083343" cy="1633337"/>
                    </a:xfrm>
                    <a:prstGeom prst="rect">
                      <a:avLst/>
                    </a:prstGeom>
                  </pic:spPr>
                </pic:pic>
              </a:graphicData>
            </a:graphic>
          </wp:inline>
        </w:drawing>
      </w:r>
    </w:p>
    <w:p>
      <w:pPr>
        <w:spacing w:before="100" w:beforeAutospacing="1" w:after="100" w:afterAutospacing="1" w:line="240" w:lineRule="auto"/>
        <w:jc w:val="center"/>
        <w:rPr>
          <w:rFonts w:ascii="Times New Roman" w:eastAsia="Times New Roman" w:hAnsi="Times New Roman" w:cs="B Nazanin"/>
          <w:b/>
          <w:bCs/>
          <w:noProof/>
          <w:sz w:val="18"/>
          <w:szCs w:val="20"/>
          <w:rtl/>
          <w:lang w:bidi="fa-IR"/>
        </w:rPr>
      </w:pPr>
      <w:r>
        <w:rPr>
          <w:rFonts w:ascii="Times New Roman" w:eastAsia="Calibri" w:hAnsi="Times New Roman" w:cs="Times New Roman"/>
          <w:b/>
          <w:bCs/>
          <w:sz w:val="20"/>
          <w:szCs w:val="20"/>
          <w:lang w:bidi="fa-IR"/>
        </w:rPr>
        <w:t xml:space="preserve">Fig. 2- SEM - EDX analysis of </w:t>
      </w:r>
      <w:proofErr w:type="spellStart"/>
      <w:r>
        <w:rPr>
          <w:rFonts w:ascii="Times New Roman" w:eastAsia="Calibri" w:hAnsi="Times New Roman" w:cs="Times New Roman"/>
          <w:b/>
          <w:bCs/>
          <w:sz w:val="20"/>
          <w:szCs w:val="20"/>
          <w:lang w:bidi="fa-IR"/>
        </w:rPr>
        <w:t>biochar</w:t>
      </w:r>
      <w:proofErr w:type="spellEnd"/>
      <w:r>
        <w:rPr>
          <w:rFonts w:ascii="Times New Roman" w:eastAsia="Calibri" w:hAnsi="Times New Roman" w:cs="Times New Roman"/>
          <w:b/>
          <w:bCs/>
          <w:sz w:val="20"/>
          <w:szCs w:val="20"/>
          <w:lang w:bidi="fa-IR"/>
        </w:rPr>
        <w:t xml:space="preserve"> sample prepared from peanut hulls</w:t>
      </w:r>
    </w:p>
    <w:p>
      <w:pPr>
        <w:spacing w:before="100" w:beforeAutospacing="1" w:after="100" w:afterAutospacing="1" w:line="240" w:lineRule="auto"/>
        <w:jc w:val="both"/>
        <w:rPr>
          <w:rFonts w:ascii="Times New Roman" w:eastAsia="Calibri" w:hAnsi="Times New Roman" w:cs="Times New Roman"/>
          <w:b/>
          <w:bCs/>
          <w:sz w:val="24"/>
          <w:szCs w:val="24"/>
          <w:lang w:bidi="fa-IR"/>
        </w:rPr>
      </w:pPr>
      <w:r>
        <w:rPr>
          <w:rFonts w:ascii="Times New Roman" w:eastAsia="Calibri" w:hAnsi="Times New Roman" w:cs="Times New Roman"/>
          <w:b/>
          <w:bCs/>
          <w:sz w:val="24"/>
          <w:szCs w:val="24"/>
          <w:lang w:bidi="fa-IR"/>
        </w:rPr>
        <w:t>5. Units</w:t>
      </w:r>
    </w:p>
    <w:p>
      <w:pPr>
        <w:spacing w:before="100" w:beforeAutospacing="1" w:after="100" w:afterAutospacing="1" w:line="240" w:lineRule="auto"/>
        <w:ind w:firstLine="284"/>
        <w:jc w:val="both"/>
        <w:rPr>
          <w:rFonts w:ascii="Times New Roman" w:eastAsia="Calibri" w:hAnsi="Times New Roman" w:cs="Times New Roman"/>
          <w:sz w:val="24"/>
          <w:szCs w:val="24"/>
          <w:lang w:bidi="fa-IR"/>
        </w:rPr>
      </w:pPr>
      <w:r>
        <w:rPr>
          <w:rFonts w:ascii="Times New Roman" w:eastAsia="Calibri" w:hAnsi="Times New Roman" w:cs="Times New Roman"/>
          <w:sz w:val="24"/>
          <w:szCs w:val="24"/>
          <w:lang w:bidi="fa-IR"/>
        </w:rPr>
        <w:t>Standard units SI system is the only acceptable system for the scheme of the issues. Note that the units for the amounts listed in tables and axes titles in shapes should not be forgotten.</w:t>
      </w:r>
    </w:p>
    <w:p>
      <w:pPr>
        <w:spacing w:before="100" w:beforeAutospacing="1" w:after="100" w:afterAutospacing="1" w:line="240" w:lineRule="auto"/>
        <w:jc w:val="both"/>
        <w:rPr>
          <w:rFonts w:ascii="Times New Roman" w:eastAsia="Calibri" w:hAnsi="Times New Roman" w:cs="Times New Roman"/>
          <w:b/>
          <w:bCs/>
          <w:sz w:val="24"/>
          <w:szCs w:val="24"/>
          <w:lang w:bidi="fa-IR"/>
        </w:rPr>
      </w:pPr>
      <w:r>
        <w:rPr>
          <w:rFonts w:ascii="Times New Roman" w:eastAsia="Calibri" w:hAnsi="Times New Roman" w:cs="Times New Roman"/>
          <w:b/>
          <w:bCs/>
          <w:sz w:val="24"/>
          <w:szCs w:val="24"/>
          <w:lang w:bidi="fa-IR"/>
        </w:rPr>
        <w:t>6. Footnotes</w:t>
      </w:r>
    </w:p>
    <w:p>
      <w:pPr>
        <w:spacing w:before="100" w:beforeAutospacing="1" w:after="100" w:afterAutospacing="1" w:line="240" w:lineRule="auto"/>
        <w:jc w:val="both"/>
        <w:rPr>
          <w:rFonts w:ascii="Times New Roman" w:eastAsia="Calibri" w:hAnsi="Times New Roman" w:cs="Times New Roman"/>
          <w:sz w:val="24"/>
          <w:szCs w:val="24"/>
          <w:lang w:bidi="fa-IR"/>
        </w:rPr>
      </w:pPr>
      <w:r>
        <w:rPr>
          <w:rFonts w:ascii="Times New Roman" w:eastAsia="Calibri" w:hAnsi="Times New Roman" w:cs="Times New Roman"/>
          <w:sz w:val="24"/>
          <w:szCs w:val="24"/>
          <w:lang w:bidi="fa-IR"/>
        </w:rPr>
        <w:t xml:space="preserve">If using footnotes is inevitable, use the font </w:t>
      </w:r>
      <w:r>
        <w:rPr>
          <w:rFonts w:ascii="Times New Roman" w:eastAsia="Calibri" w:hAnsi="Times New Roman" w:cs="Times New Roman"/>
          <w:sz w:val="24"/>
          <w:szCs w:val="24"/>
          <w:u w:val="single"/>
          <w:lang w:bidi="fa-IR"/>
        </w:rPr>
        <w:t>Times New Roman 10pt</w:t>
      </w:r>
      <w:r>
        <w:rPr>
          <w:rFonts w:ascii="Times New Roman" w:eastAsia="Calibri" w:hAnsi="Times New Roman" w:cs="Times New Roman"/>
          <w:sz w:val="24"/>
          <w:szCs w:val="24"/>
          <w:lang w:bidi="fa-IR"/>
        </w:rPr>
        <w:t>.</w:t>
      </w:r>
    </w:p>
    <w:p>
      <w:pPr>
        <w:spacing w:before="100" w:beforeAutospacing="1" w:after="100" w:afterAutospacing="1" w:line="240" w:lineRule="auto"/>
        <w:jc w:val="both"/>
        <w:rPr>
          <w:rFonts w:ascii="Times New Roman" w:eastAsia="Calibri" w:hAnsi="Times New Roman" w:cs="Times New Roman"/>
          <w:b/>
          <w:bCs/>
          <w:sz w:val="24"/>
          <w:szCs w:val="24"/>
          <w:lang w:bidi="fa-IR"/>
        </w:rPr>
      </w:pPr>
      <w:r>
        <w:rPr>
          <w:rFonts w:ascii="Times New Roman" w:eastAsia="Calibri" w:hAnsi="Times New Roman" w:cs="Times New Roman"/>
          <w:b/>
          <w:bCs/>
          <w:sz w:val="24"/>
          <w:szCs w:val="24"/>
          <w:lang w:bidi="fa-IR"/>
        </w:rPr>
        <w:t>7. Conclusion section</w:t>
      </w:r>
    </w:p>
    <w:p>
      <w:pPr>
        <w:spacing w:before="100" w:beforeAutospacing="1" w:after="100" w:afterAutospacing="1" w:line="240" w:lineRule="auto"/>
        <w:ind w:firstLine="284"/>
        <w:jc w:val="both"/>
        <w:rPr>
          <w:rFonts w:ascii="Times New Roman" w:eastAsia="Calibri" w:hAnsi="Times New Roman" w:cs="Times New Roman"/>
          <w:sz w:val="24"/>
          <w:szCs w:val="24"/>
          <w:lang w:bidi="fa-IR"/>
        </w:rPr>
      </w:pPr>
      <w:r>
        <w:rPr>
          <w:rFonts w:ascii="Times New Roman" w:eastAsia="Calibri" w:hAnsi="Times New Roman" w:cs="Times New Roman"/>
          <w:sz w:val="24"/>
          <w:szCs w:val="24"/>
          <w:lang w:bidi="fa-IR"/>
        </w:rPr>
        <w:t>Each Paper should be provided with a summary of the research results presented in the article at the end of the context as the conclusion section. Possible recommendations are also presented in this section.</w:t>
      </w:r>
    </w:p>
    <w:p>
      <w:pPr>
        <w:spacing w:before="100" w:beforeAutospacing="1" w:after="100" w:afterAutospacing="1" w:line="240" w:lineRule="auto"/>
        <w:jc w:val="both"/>
        <w:rPr>
          <w:rFonts w:ascii="Times New Roman" w:eastAsia="Calibri" w:hAnsi="Times New Roman" w:cs="Times New Roman"/>
          <w:b/>
          <w:bCs/>
          <w:sz w:val="24"/>
          <w:szCs w:val="24"/>
          <w:lang w:bidi="fa-IR"/>
        </w:rPr>
      </w:pPr>
      <w:r>
        <w:rPr>
          <w:rFonts w:ascii="Times New Roman" w:eastAsia="Calibri" w:hAnsi="Times New Roman" w:cs="Times New Roman"/>
          <w:b/>
          <w:bCs/>
          <w:sz w:val="24"/>
          <w:szCs w:val="24"/>
          <w:lang w:bidi="fa-IR"/>
        </w:rPr>
        <w:t>8. Acknowledgement (optional)</w:t>
      </w:r>
    </w:p>
    <w:p>
      <w:pPr>
        <w:spacing w:before="100" w:beforeAutospacing="1" w:after="100" w:afterAutospacing="1" w:line="240" w:lineRule="auto"/>
        <w:jc w:val="both"/>
        <w:rPr>
          <w:rFonts w:ascii="Times New Roman" w:eastAsia="Calibri" w:hAnsi="Times New Roman" w:cs="Times New Roman"/>
          <w:sz w:val="24"/>
          <w:szCs w:val="24"/>
          <w:lang w:bidi="fa-IR"/>
        </w:rPr>
      </w:pPr>
      <w:r>
        <w:rPr>
          <w:rFonts w:ascii="Times New Roman" w:eastAsia="Calibri" w:hAnsi="Times New Roman" w:cs="Times New Roman"/>
          <w:sz w:val="24"/>
          <w:szCs w:val="24"/>
          <w:lang w:bidi="fa-IR"/>
        </w:rPr>
        <w:t>If necessary, a brief appreciation can be mentioned before the list of references.</w:t>
      </w:r>
    </w:p>
    <w:p>
      <w:pPr>
        <w:spacing w:before="100" w:beforeAutospacing="1" w:after="100" w:afterAutospacing="1" w:line="240" w:lineRule="auto"/>
        <w:jc w:val="both"/>
        <w:rPr>
          <w:rFonts w:ascii="Times New Roman" w:eastAsia="Calibri" w:hAnsi="Times New Roman" w:cs="Times New Roman"/>
          <w:b/>
          <w:bCs/>
          <w:sz w:val="24"/>
          <w:szCs w:val="24"/>
          <w:lang w:bidi="fa-IR"/>
        </w:rPr>
      </w:pPr>
      <w:r>
        <w:rPr>
          <w:rFonts w:ascii="Times New Roman" w:eastAsia="Calibri" w:hAnsi="Times New Roman" w:cs="Times New Roman"/>
          <w:b/>
          <w:bCs/>
          <w:sz w:val="24"/>
          <w:szCs w:val="24"/>
          <w:lang w:bidi="fa-IR"/>
        </w:rPr>
        <w:lastRenderedPageBreak/>
        <w:t>References</w:t>
      </w:r>
    </w:p>
    <w:p>
      <w:pPr>
        <w:spacing w:before="100" w:beforeAutospacing="1" w:after="100" w:afterAutospacing="1" w:line="240" w:lineRule="auto"/>
        <w:ind w:firstLine="284"/>
        <w:jc w:val="both"/>
        <w:rPr>
          <w:rFonts w:ascii="Times New Roman" w:eastAsia="Calibri" w:hAnsi="Times New Roman" w:cs="Times New Roman"/>
          <w:sz w:val="24"/>
          <w:szCs w:val="24"/>
          <w:lang w:bidi="fa-IR"/>
        </w:rPr>
      </w:pPr>
      <w:r>
        <w:rPr>
          <w:rFonts w:ascii="Times New Roman" w:eastAsia="Calibri" w:hAnsi="Times New Roman" w:cs="Times New Roman"/>
          <w:sz w:val="24"/>
          <w:szCs w:val="24"/>
          <w:lang w:bidi="fa-IR"/>
        </w:rPr>
        <w:t xml:space="preserve">The reference list section is the last part of the article, which is not assigned a title number. References and sources are given in alphabetical order in this section. Mentioning of each reference in the text is based on author-year system. The font size used for Persian references (B </w:t>
      </w:r>
      <w:proofErr w:type="spellStart"/>
      <w:r>
        <w:rPr>
          <w:rFonts w:ascii="Times New Roman" w:eastAsia="Calibri" w:hAnsi="Times New Roman" w:cs="Times New Roman"/>
          <w:sz w:val="24"/>
          <w:szCs w:val="24"/>
          <w:lang w:bidi="fa-IR"/>
        </w:rPr>
        <w:t>Nazanin</w:t>
      </w:r>
      <w:proofErr w:type="spellEnd"/>
      <w:r>
        <w:rPr>
          <w:rFonts w:ascii="Times New Roman" w:eastAsia="Calibri" w:hAnsi="Times New Roman" w:cs="Times New Roman"/>
          <w:sz w:val="24"/>
          <w:szCs w:val="24"/>
          <w:lang w:bidi="fa-IR"/>
        </w:rPr>
        <w:t xml:space="preserve"> 11pt) and for English references will be the same as other parts of the article with a smaller size (Times New Roman 10pt). After typing each reference, a space of 6 </w:t>
      </w:r>
      <w:proofErr w:type="spellStart"/>
      <w:r>
        <w:rPr>
          <w:rFonts w:ascii="Times New Roman" w:eastAsia="Calibri" w:hAnsi="Times New Roman" w:cs="Times New Roman"/>
          <w:sz w:val="24"/>
          <w:szCs w:val="24"/>
          <w:lang w:bidi="fa-IR"/>
        </w:rPr>
        <w:t>pt</w:t>
      </w:r>
      <w:proofErr w:type="spellEnd"/>
      <w:r>
        <w:rPr>
          <w:rFonts w:ascii="Times New Roman" w:eastAsia="Calibri" w:hAnsi="Times New Roman" w:cs="Times New Roman"/>
          <w:sz w:val="24"/>
          <w:szCs w:val="24"/>
          <w:lang w:bidi="fa-IR"/>
        </w:rPr>
        <w:t xml:space="preserve"> with the next reference is required. The specifications of each reference must be presented in a complete and standard manner according to the </w:t>
      </w:r>
      <w:r>
        <w:rPr>
          <w:rFonts w:ascii="Times New Roman" w:eastAsia="Calibri" w:hAnsi="Times New Roman" w:cs="Times New Roman"/>
          <w:sz w:val="24"/>
          <w:szCs w:val="24"/>
          <w:u w:val="single"/>
          <w:lang w:bidi="fa-IR"/>
        </w:rPr>
        <w:t>APA sixth edition style</w:t>
      </w:r>
      <w:r>
        <w:rPr>
          <w:rFonts w:ascii="Times New Roman" w:eastAsia="Calibri" w:hAnsi="Times New Roman" w:cs="Times New Roman"/>
          <w:sz w:val="24"/>
          <w:szCs w:val="24"/>
          <w:lang w:bidi="fa-IR"/>
        </w:rPr>
        <w:t xml:space="preserve"> (available in the References menu in Word version 2013).</w:t>
      </w:r>
    </w:p>
    <w:p>
      <w:pPr>
        <w:spacing w:before="100" w:beforeAutospacing="1" w:after="100" w:afterAutospacing="1" w:line="240" w:lineRule="auto"/>
        <w:ind w:firstLine="284"/>
        <w:jc w:val="both"/>
        <w:rPr>
          <w:rFonts w:ascii="Times New Roman" w:eastAsia="Calibri" w:hAnsi="Times New Roman" w:cs="Times New Roman"/>
          <w:sz w:val="24"/>
          <w:szCs w:val="24"/>
          <w:lang w:bidi="fa-IR"/>
        </w:rPr>
      </w:pPr>
      <w:r>
        <w:rPr>
          <w:rFonts w:ascii="Times New Roman" w:eastAsia="Calibri" w:hAnsi="Times New Roman" w:cs="Times New Roman"/>
          <w:sz w:val="24"/>
          <w:szCs w:val="24"/>
          <w:lang w:bidi="fa-IR"/>
        </w:rPr>
        <w:t>For example:</w:t>
      </w:r>
    </w:p>
    <w:p>
      <w:pPr>
        <w:spacing w:before="120" w:after="120" w:line="240" w:lineRule="auto"/>
        <w:ind w:left="284" w:hanging="284"/>
        <w:jc w:val="both"/>
        <w:rPr>
          <w:rFonts w:ascii="Times New Roman" w:eastAsia="Calibri" w:hAnsi="Times New Roman" w:cs="Times New Roman"/>
          <w:noProof/>
          <w:sz w:val="20"/>
          <w:szCs w:val="20"/>
        </w:rPr>
      </w:pPr>
      <w:r>
        <w:rPr>
          <w:rFonts w:ascii="Times New Roman" w:eastAsia="Calibri" w:hAnsi="Times New Roman" w:cs="Times New Roman"/>
          <w:noProof/>
          <w:sz w:val="20"/>
          <w:szCs w:val="20"/>
        </w:rPr>
        <w:t>DOE, (2022, June 10). </w:t>
      </w:r>
      <w:r>
        <w:rPr>
          <w:rFonts w:ascii="Times New Roman" w:eastAsia="Calibri" w:hAnsi="Times New Roman" w:cs="Times New Roman"/>
          <w:i/>
          <w:iCs/>
          <w:noProof/>
          <w:sz w:val="20"/>
          <w:szCs w:val="20"/>
        </w:rPr>
        <w:t>Permissible limits of soil pollution and pollutants entering it (According to the soil protection law)</w:t>
      </w:r>
      <w:r>
        <w:rPr>
          <w:rFonts w:ascii="Times New Roman" w:eastAsia="Calibri" w:hAnsi="Times New Roman" w:cs="Times New Roman"/>
          <w:noProof/>
          <w:sz w:val="20"/>
          <w:szCs w:val="20"/>
        </w:rPr>
        <w:t>. Organizational standards. Retrieved July 30, 2020, from https://wsm.doe.ir/portal/home/?673823</w:t>
      </w:r>
    </w:p>
    <w:p>
      <w:pPr>
        <w:spacing w:before="120" w:after="120" w:line="240" w:lineRule="auto"/>
        <w:ind w:left="284" w:hanging="284"/>
        <w:jc w:val="both"/>
        <w:rPr>
          <w:rFonts w:ascii="Times New Roman" w:eastAsia="Calibri" w:hAnsi="Times New Roman" w:cs="Times New Roman"/>
          <w:noProof/>
          <w:sz w:val="20"/>
          <w:szCs w:val="20"/>
        </w:rPr>
      </w:pPr>
      <w:r>
        <w:rPr>
          <w:rFonts w:ascii="Times New Roman" w:eastAsia="Calibri" w:hAnsi="Times New Roman" w:cs="Times New Roman"/>
          <w:noProof/>
          <w:sz w:val="20"/>
          <w:szCs w:val="20"/>
        </w:rPr>
        <w:t xml:space="preserve">Friedlova, M. (2010). The influence of heavy metals on soil biological and chemical properties. </w:t>
      </w:r>
      <w:r>
        <w:rPr>
          <w:rFonts w:ascii="Times New Roman" w:eastAsia="Calibri" w:hAnsi="Times New Roman" w:cs="Times New Roman"/>
          <w:i/>
          <w:iCs/>
          <w:noProof/>
          <w:sz w:val="20"/>
          <w:szCs w:val="20"/>
        </w:rPr>
        <w:t>Soil and Water Research, 5</w:t>
      </w:r>
      <w:r>
        <w:rPr>
          <w:rFonts w:ascii="Times New Roman" w:eastAsia="Calibri" w:hAnsi="Times New Roman" w:cs="Times New Roman"/>
          <w:noProof/>
          <w:sz w:val="20"/>
          <w:szCs w:val="20"/>
        </w:rPr>
        <w:t>(1), 21-27. doi:10.17221/11/2009-SWR</w:t>
      </w:r>
    </w:p>
    <w:p>
      <w:pPr>
        <w:spacing w:before="120" w:after="120" w:line="240" w:lineRule="auto"/>
        <w:ind w:left="284" w:hanging="284"/>
        <w:jc w:val="both"/>
        <w:rPr>
          <w:rFonts w:asciiTheme="majorBidi" w:eastAsia="Calibri" w:hAnsiTheme="majorBidi" w:cstheme="majorBidi"/>
          <w:sz w:val="20"/>
          <w:szCs w:val="20"/>
          <w:lang w:bidi="fa-IR"/>
        </w:rPr>
      </w:pPr>
      <w:r>
        <w:rPr>
          <w:rFonts w:asciiTheme="majorBidi" w:eastAsia="Calibri" w:hAnsiTheme="majorBidi" w:cstheme="majorBidi"/>
          <w:sz w:val="20"/>
          <w:szCs w:val="20"/>
          <w:lang w:bidi="fa-IR"/>
        </w:rPr>
        <w:t xml:space="preserve">Ghosh, P., &amp; Das, S. P. (2022). Unraveling a dynamic ameliorant of heavy metal-polluted soil: </w:t>
      </w:r>
      <w:proofErr w:type="spellStart"/>
      <w:r>
        <w:rPr>
          <w:rFonts w:asciiTheme="majorBidi" w:eastAsia="Calibri" w:hAnsiTheme="majorBidi" w:cstheme="majorBidi"/>
          <w:sz w:val="20"/>
          <w:szCs w:val="20"/>
          <w:lang w:bidi="fa-IR"/>
        </w:rPr>
        <w:t>Biochar</w:t>
      </w:r>
      <w:proofErr w:type="spellEnd"/>
      <w:r>
        <w:rPr>
          <w:rFonts w:asciiTheme="majorBidi" w:eastAsia="Calibri" w:hAnsiTheme="majorBidi" w:cstheme="majorBidi"/>
          <w:sz w:val="20"/>
          <w:szCs w:val="20"/>
          <w:lang w:bidi="fa-IR"/>
        </w:rPr>
        <w:t xml:space="preserve">. In R. T. Kapoor, &amp; M. P. Shah, </w:t>
      </w:r>
      <w:proofErr w:type="spellStart"/>
      <w:r>
        <w:rPr>
          <w:rFonts w:asciiTheme="majorBidi" w:eastAsia="Calibri" w:hAnsiTheme="majorBidi" w:cstheme="majorBidi"/>
          <w:i/>
          <w:iCs/>
          <w:sz w:val="20"/>
          <w:szCs w:val="20"/>
          <w:lang w:bidi="fa-IR"/>
        </w:rPr>
        <w:t>Biochar</w:t>
      </w:r>
      <w:proofErr w:type="spellEnd"/>
      <w:r>
        <w:rPr>
          <w:rFonts w:asciiTheme="majorBidi" w:eastAsia="Calibri" w:hAnsiTheme="majorBidi" w:cstheme="majorBidi"/>
          <w:i/>
          <w:iCs/>
          <w:sz w:val="20"/>
          <w:szCs w:val="20"/>
          <w:lang w:bidi="fa-IR"/>
        </w:rPr>
        <w:t>: Applications for bioremediation of contaminated systems</w:t>
      </w:r>
      <w:r>
        <w:rPr>
          <w:rFonts w:asciiTheme="majorBidi" w:eastAsia="Calibri" w:hAnsiTheme="majorBidi" w:cstheme="majorBidi"/>
          <w:sz w:val="20"/>
          <w:szCs w:val="20"/>
          <w:lang w:bidi="fa-IR"/>
        </w:rPr>
        <w:t xml:space="preserve"> (pp. 163-184). Berlin: Walter de </w:t>
      </w:r>
      <w:proofErr w:type="spellStart"/>
      <w:r>
        <w:rPr>
          <w:rFonts w:asciiTheme="majorBidi" w:eastAsia="Calibri" w:hAnsiTheme="majorBidi" w:cstheme="majorBidi"/>
          <w:sz w:val="20"/>
          <w:szCs w:val="20"/>
          <w:lang w:bidi="fa-IR"/>
        </w:rPr>
        <w:t>Gruyter</w:t>
      </w:r>
      <w:proofErr w:type="spellEnd"/>
      <w:r>
        <w:rPr>
          <w:rFonts w:asciiTheme="majorBidi" w:eastAsia="Calibri" w:hAnsiTheme="majorBidi" w:cstheme="majorBidi"/>
          <w:sz w:val="20"/>
          <w:szCs w:val="20"/>
          <w:lang w:bidi="fa-IR"/>
        </w:rPr>
        <w:t xml:space="preserve"> GmbH &amp; Co KG.</w:t>
      </w:r>
    </w:p>
    <w:p>
      <w:pPr>
        <w:spacing w:before="120" w:after="120" w:line="240" w:lineRule="auto"/>
        <w:ind w:left="284" w:hanging="284"/>
        <w:jc w:val="both"/>
        <w:rPr>
          <w:rFonts w:asciiTheme="majorBidi" w:eastAsia="Calibri" w:hAnsiTheme="majorBidi" w:cstheme="majorBidi"/>
          <w:sz w:val="20"/>
          <w:szCs w:val="20"/>
          <w:lang w:bidi="fa-IR"/>
        </w:rPr>
      </w:pPr>
      <w:r>
        <w:rPr>
          <w:rFonts w:asciiTheme="majorBidi" w:eastAsia="Calibri" w:hAnsiTheme="majorBidi" w:cstheme="majorBidi"/>
          <w:sz w:val="20"/>
          <w:szCs w:val="20"/>
          <w:lang w:bidi="fa-IR"/>
        </w:rPr>
        <w:t xml:space="preserve">Gonzaga, M., de Jesus Santos, J., </w:t>
      </w:r>
      <w:proofErr w:type="spellStart"/>
      <w:r>
        <w:rPr>
          <w:rFonts w:asciiTheme="majorBidi" w:eastAsia="Calibri" w:hAnsiTheme="majorBidi" w:cstheme="majorBidi"/>
          <w:sz w:val="20"/>
          <w:szCs w:val="20"/>
          <w:lang w:bidi="fa-IR"/>
        </w:rPr>
        <w:t>Ganassali</w:t>
      </w:r>
      <w:proofErr w:type="spellEnd"/>
      <w:r>
        <w:rPr>
          <w:rFonts w:asciiTheme="majorBidi" w:eastAsia="Calibri" w:hAnsiTheme="majorBidi" w:cstheme="majorBidi"/>
          <w:sz w:val="20"/>
          <w:szCs w:val="20"/>
          <w:lang w:bidi="fa-IR"/>
        </w:rPr>
        <w:t xml:space="preserve"> Junior, L., </w:t>
      </w:r>
      <w:proofErr w:type="spellStart"/>
      <w:r>
        <w:rPr>
          <w:rFonts w:asciiTheme="majorBidi" w:eastAsia="Calibri" w:hAnsiTheme="majorBidi" w:cstheme="majorBidi"/>
          <w:sz w:val="20"/>
          <w:szCs w:val="20"/>
          <w:lang w:bidi="fa-IR"/>
        </w:rPr>
        <w:t>Fontes</w:t>
      </w:r>
      <w:proofErr w:type="spellEnd"/>
      <w:r>
        <w:rPr>
          <w:rFonts w:asciiTheme="majorBidi" w:eastAsia="Calibri" w:hAnsiTheme="majorBidi" w:cstheme="majorBidi"/>
          <w:sz w:val="20"/>
          <w:szCs w:val="20"/>
          <w:lang w:bidi="fa-IR"/>
        </w:rPr>
        <w:t xml:space="preserve">, P., A. J., &amp; Gonzaga, T. (2022). Copper uptake, physiological response, and phytoremediation potential of </w:t>
      </w:r>
      <w:r>
        <w:rPr>
          <w:rFonts w:asciiTheme="majorBidi" w:eastAsia="Calibri" w:hAnsiTheme="majorBidi" w:cstheme="majorBidi"/>
          <w:i/>
          <w:iCs/>
          <w:sz w:val="20"/>
          <w:szCs w:val="20"/>
          <w:lang w:bidi="fa-IR"/>
        </w:rPr>
        <w:t xml:space="preserve">Brassica </w:t>
      </w:r>
      <w:proofErr w:type="spellStart"/>
      <w:r>
        <w:rPr>
          <w:rFonts w:asciiTheme="majorBidi" w:eastAsia="Calibri" w:hAnsiTheme="majorBidi" w:cstheme="majorBidi"/>
          <w:i/>
          <w:iCs/>
          <w:sz w:val="20"/>
          <w:szCs w:val="20"/>
          <w:lang w:bidi="fa-IR"/>
        </w:rPr>
        <w:t>juncea</w:t>
      </w:r>
      <w:proofErr w:type="spellEnd"/>
      <w:r>
        <w:rPr>
          <w:rFonts w:asciiTheme="majorBidi" w:eastAsia="Calibri" w:hAnsiTheme="majorBidi" w:cstheme="majorBidi"/>
          <w:sz w:val="20"/>
          <w:szCs w:val="20"/>
          <w:lang w:bidi="fa-IR"/>
        </w:rPr>
        <w:t xml:space="preserve"> under </w:t>
      </w:r>
      <w:proofErr w:type="spellStart"/>
      <w:r>
        <w:rPr>
          <w:rFonts w:asciiTheme="majorBidi" w:eastAsia="Calibri" w:hAnsiTheme="majorBidi" w:cstheme="majorBidi"/>
          <w:sz w:val="20"/>
          <w:szCs w:val="20"/>
          <w:lang w:bidi="fa-IR"/>
        </w:rPr>
        <w:t>biochar</w:t>
      </w:r>
      <w:proofErr w:type="spellEnd"/>
      <w:r>
        <w:rPr>
          <w:rFonts w:asciiTheme="majorBidi" w:eastAsia="Calibri" w:hAnsiTheme="majorBidi" w:cstheme="majorBidi"/>
          <w:sz w:val="20"/>
          <w:szCs w:val="20"/>
          <w:lang w:bidi="fa-IR"/>
        </w:rPr>
        <w:t xml:space="preserve"> application. </w:t>
      </w:r>
      <w:r>
        <w:rPr>
          <w:rFonts w:asciiTheme="majorBidi" w:eastAsia="Calibri" w:hAnsiTheme="majorBidi" w:cstheme="majorBidi"/>
          <w:i/>
          <w:iCs/>
          <w:sz w:val="20"/>
          <w:szCs w:val="20"/>
          <w:lang w:bidi="fa-IR"/>
        </w:rPr>
        <w:t>International Journal of Phytoremediation, 24</w:t>
      </w:r>
      <w:r>
        <w:rPr>
          <w:rFonts w:asciiTheme="majorBidi" w:eastAsia="Calibri" w:hAnsiTheme="majorBidi" w:cstheme="majorBidi"/>
          <w:sz w:val="20"/>
          <w:szCs w:val="20"/>
          <w:lang w:bidi="fa-IR"/>
        </w:rPr>
        <w:t>(5), 474-482. doi:10.1080/15226514.2021.1954875</w:t>
      </w:r>
    </w:p>
    <w:p>
      <w:pPr>
        <w:bidi/>
        <w:rPr>
          <w:rtl/>
          <w:lang w:bidi="fa-IR"/>
        </w:rPr>
      </w:pPr>
      <w:r>
        <w:rPr>
          <w:rtl/>
          <w:lang w:bidi="fa-IR"/>
        </w:rPr>
        <w:br w:type="page"/>
      </w:r>
    </w:p>
    <w:p>
      <w:pPr>
        <w:bidi/>
        <w:spacing w:before="100" w:beforeAutospacing="1" w:after="100" w:afterAutospacing="1" w:line="240" w:lineRule="auto"/>
        <w:jc w:val="center"/>
        <w:rPr>
          <w:rFonts w:ascii="Times New Roman" w:eastAsia="Times New Roman" w:hAnsi="Times New Roman" w:cs="B Nazanin"/>
          <w:b/>
          <w:bCs/>
          <w:noProof/>
          <w:sz w:val="32"/>
          <w:szCs w:val="32"/>
          <w:rtl/>
          <w:lang w:bidi="fa-IR"/>
        </w:rPr>
      </w:pPr>
      <w:r>
        <w:rPr>
          <w:rFonts w:ascii="Times New Roman" w:eastAsia="Times New Roman" w:hAnsi="Times New Roman" w:cs="B Nazanin" w:hint="cs"/>
          <w:b/>
          <w:bCs/>
          <w:noProof/>
          <w:sz w:val="32"/>
          <w:szCs w:val="32"/>
          <w:rtl/>
        </w:rPr>
        <w:lastRenderedPageBreak/>
        <w:t xml:space="preserve">(عنوان با فونت </w:t>
      </w:r>
      <w:r>
        <w:rPr>
          <w:rFonts w:ascii="Times New Roman" w:eastAsia="Times New Roman" w:hAnsi="Times New Roman" w:cs="B Nazanin"/>
          <w:b/>
          <w:bCs/>
          <w:noProof/>
          <w:sz w:val="32"/>
          <w:szCs w:val="32"/>
          <w:lang w:bidi="fa-IR"/>
        </w:rPr>
        <w:t xml:space="preserve">B Nazanin 16pt </w:t>
      </w:r>
      <w:r>
        <w:rPr>
          <w:rFonts w:ascii="Times New Roman" w:eastAsia="Times New Roman" w:hAnsi="Times New Roman" w:cs="B Nazanin" w:hint="cs"/>
          <w:b/>
          <w:bCs/>
          <w:noProof/>
          <w:sz w:val="32"/>
          <w:szCs w:val="32"/>
          <w:rtl/>
          <w:lang w:bidi="fa-IR"/>
        </w:rPr>
        <w:t xml:space="preserve"> پررنگ)</w:t>
      </w:r>
      <w:r>
        <w:rPr>
          <w:rFonts w:ascii="Times New Roman" w:eastAsia="Times New Roman" w:hAnsi="Times New Roman" w:cs="Times New Roman"/>
          <w:sz w:val="32"/>
          <w:szCs w:val="32"/>
        </w:rPr>
        <w:t xml:space="preserve"> </w:t>
      </w:r>
    </w:p>
    <w:p>
      <w:pPr>
        <w:bidi/>
        <w:spacing w:before="100" w:beforeAutospacing="1" w:after="100" w:afterAutospacing="1" w:line="240" w:lineRule="auto"/>
        <w:jc w:val="center"/>
        <w:rPr>
          <w:rFonts w:ascii="Times New Roman" w:eastAsia="Times New Roman" w:hAnsi="Times New Roman" w:cs="B Nazanin"/>
          <w:b/>
          <w:bCs/>
          <w:noProof/>
          <w:sz w:val="20"/>
          <w:szCs w:val="24"/>
          <w:rtl/>
          <w:lang w:bidi="fa-IR"/>
        </w:rPr>
      </w:pPr>
      <w:r>
        <w:rPr>
          <w:rFonts w:ascii="Times New Roman" w:eastAsia="Times New Roman" w:hAnsi="Times New Roman" w:cs="B Nazanin" w:hint="cs"/>
          <w:b/>
          <w:bCs/>
          <w:noProof/>
          <w:sz w:val="20"/>
          <w:szCs w:val="24"/>
          <w:rtl/>
          <w:lang w:bidi="fa-IR"/>
        </w:rPr>
        <w:t>مولف اول</w:t>
      </w:r>
      <w:r>
        <w:rPr>
          <w:rFonts w:ascii="Times New Roman" w:eastAsia="Times New Roman" w:hAnsi="Times New Roman" w:cs="B Nazanin" w:hint="cs"/>
          <w:b/>
          <w:bCs/>
          <w:noProof/>
          <w:sz w:val="20"/>
          <w:szCs w:val="24"/>
          <w:vertAlign w:val="superscript"/>
          <w:rtl/>
          <w:lang w:bidi="fa-IR"/>
        </w:rPr>
        <w:t>1</w:t>
      </w:r>
      <w:r>
        <w:rPr>
          <w:rFonts w:ascii="Times New Roman" w:eastAsia="Times New Roman" w:hAnsi="Times New Roman" w:cs="Times New Roman"/>
          <w:b/>
          <w:bCs/>
          <w:noProof/>
          <w:sz w:val="24"/>
          <w:szCs w:val="24"/>
          <w:lang w:bidi="fa-IR"/>
        </w:rPr>
        <w:t>*</w:t>
      </w:r>
      <w:r>
        <w:rPr>
          <w:rFonts w:ascii="Times New Roman" w:eastAsia="Times New Roman" w:hAnsi="Times New Roman" w:cs="B Nazanin" w:hint="cs"/>
          <w:b/>
          <w:bCs/>
          <w:noProof/>
          <w:sz w:val="20"/>
          <w:szCs w:val="24"/>
          <w:rtl/>
          <w:lang w:bidi="fa-IR"/>
        </w:rPr>
        <w:t>، مولف دوم</w:t>
      </w:r>
      <w:r>
        <w:rPr>
          <w:rFonts w:ascii="Times New Roman" w:eastAsia="Times New Roman" w:hAnsi="Times New Roman" w:cs="B Nazanin" w:hint="cs"/>
          <w:b/>
          <w:bCs/>
          <w:noProof/>
          <w:sz w:val="20"/>
          <w:szCs w:val="24"/>
          <w:vertAlign w:val="superscript"/>
          <w:rtl/>
          <w:lang w:bidi="fa-IR"/>
        </w:rPr>
        <w:t>2</w:t>
      </w:r>
      <w:r>
        <w:rPr>
          <w:rFonts w:ascii="Times New Roman" w:eastAsia="Times New Roman" w:hAnsi="Times New Roman" w:cs="B Nazanin" w:hint="cs"/>
          <w:b/>
          <w:bCs/>
          <w:noProof/>
          <w:sz w:val="20"/>
          <w:szCs w:val="24"/>
          <w:rtl/>
          <w:lang w:bidi="fa-IR"/>
        </w:rPr>
        <w:t xml:space="preserve">، ... (نویسنده مسئول با </w:t>
      </w:r>
      <w:r>
        <w:rPr>
          <w:rFonts w:ascii="Times New Roman" w:eastAsia="Times New Roman" w:hAnsi="Times New Roman" w:cs="Times New Roman"/>
          <w:b/>
          <w:bCs/>
          <w:noProof/>
          <w:sz w:val="24"/>
          <w:szCs w:val="24"/>
          <w:lang w:bidi="fa-IR"/>
        </w:rPr>
        <w:t>*</w:t>
      </w:r>
      <w:r>
        <w:rPr>
          <w:rFonts w:ascii="Times New Roman" w:eastAsia="Times New Roman" w:hAnsi="Times New Roman" w:cs="B Nazanin" w:hint="cs"/>
          <w:b/>
          <w:bCs/>
          <w:noProof/>
          <w:sz w:val="20"/>
          <w:szCs w:val="24"/>
          <w:rtl/>
          <w:lang w:bidi="fa-IR"/>
        </w:rPr>
        <w:t xml:space="preserve"> مشخص شود، فونت </w:t>
      </w:r>
      <w:r>
        <w:rPr>
          <w:rFonts w:ascii="Times New Roman" w:eastAsia="Times New Roman" w:hAnsi="Times New Roman" w:cs="B Nazanin"/>
          <w:b/>
          <w:bCs/>
          <w:noProof/>
          <w:sz w:val="24"/>
          <w:szCs w:val="24"/>
          <w:lang w:bidi="fa-IR"/>
        </w:rPr>
        <w:t>B Nazanin 12pt</w:t>
      </w:r>
      <w:r>
        <w:rPr>
          <w:rFonts w:ascii="Times New Roman" w:eastAsia="Times New Roman" w:hAnsi="Times New Roman" w:cs="B Nazanin" w:hint="cs"/>
          <w:b/>
          <w:bCs/>
          <w:noProof/>
          <w:sz w:val="20"/>
          <w:szCs w:val="24"/>
          <w:rtl/>
          <w:lang w:bidi="fa-IR"/>
        </w:rPr>
        <w:t xml:space="preserve"> پررنگ)</w:t>
      </w:r>
    </w:p>
    <w:p>
      <w:pPr>
        <w:bidi/>
        <w:spacing w:before="100" w:beforeAutospacing="1" w:after="100" w:afterAutospacing="1" w:line="240" w:lineRule="auto"/>
        <w:jc w:val="center"/>
        <w:rPr>
          <w:rFonts w:ascii="Times New Roman" w:eastAsia="Times New Roman" w:hAnsi="Times New Roman" w:cs="B Nazanin"/>
          <w:noProof/>
          <w:sz w:val="20"/>
          <w:szCs w:val="20"/>
          <w:rtl/>
          <w:lang w:bidi="fa-IR"/>
        </w:rPr>
      </w:pPr>
      <w:r>
        <w:rPr>
          <w:rFonts w:ascii="Times New Roman" w:eastAsia="Times New Roman" w:hAnsi="Times New Roman" w:cs="B Nazanin" w:hint="cs"/>
          <w:noProof/>
          <w:sz w:val="20"/>
          <w:szCs w:val="20"/>
          <w:rtl/>
          <w:lang w:bidi="fa-IR"/>
        </w:rPr>
        <w:t>1-</w:t>
      </w:r>
      <w:r>
        <w:rPr>
          <w:rFonts w:ascii="Times New Roman" w:eastAsia="Times New Roman" w:hAnsi="Times New Roman" w:cs="B Nazanin" w:hint="cs"/>
          <w:sz w:val="20"/>
          <w:szCs w:val="20"/>
          <w:rtl/>
          <w:lang w:val="en-GB" w:bidi="fa-IR"/>
        </w:rPr>
        <w:t xml:space="preserve"> </w:t>
      </w:r>
      <w:r>
        <w:rPr>
          <w:rFonts w:ascii="Times New Roman" w:eastAsia="Times New Roman" w:hAnsi="Times New Roman" w:cs="B Nazanin" w:hint="cs"/>
          <w:noProof/>
          <w:sz w:val="20"/>
          <w:szCs w:val="20"/>
          <w:rtl/>
          <w:lang w:bidi="fa-IR"/>
        </w:rPr>
        <w:t>مرتبه علمی، تخصص اصلی، گروه آموزشی، دانشکده و دانشگاه / موسسه علمی - پژوهشی، (</w:t>
      </w:r>
      <w:r>
        <w:rPr>
          <w:rFonts w:ascii="Times New Roman" w:eastAsia="Times New Roman" w:hAnsi="Times New Roman" w:cs="B Nazanin"/>
          <w:noProof/>
          <w:sz w:val="20"/>
          <w:szCs w:val="20"/>
          <w:lang w:bidi="fa-IR"/>
        </w:rPr>
        <w:t>B Nazanin 10pt</w:t>
      </w:r>
      <w:r>
        <w:rPr>
          <w:rFonts w:ascii="Times New Roman" w:eastAsia="Times New Roman" w:hAnsi="Times New Roman" w:cs="B Nazanin" w:hint="cs"/>
          <w:b/>
          <w:bCs/>
          <w:noProof/>
          <w:sz w:val="20"/>
          <w:szCs w:val="20"/>
          <w:rtl/>
          <w:lang w:bidi="fa-IR"/>
        </w:rPr>
        <w:t xml:space="preserve"> ) - </w:t>
      </w:r>
      <w:r>
        <w:rPr>
          <w:rFonts w:ascii="Times New Roman" w:eastAsia="Times New Roman" w:hAnsi="Times New Roman" w:cs="B Nazanin" w:hint="cs"/>
          <w:noProof/>
          <w:sz w:val="20"/>
          <w:szCs w:val="20"/>
          <w:rtl/>
        </w:rPr>
        <w:t>آدرس پست الکترونيکي</w:t>
      </w:r>
      <w:r>
        <w:rPr>
          <w:rFonts w:ascii="Times New Roman" w:eastAsia="Times New Roman" w:hAnsi="Times New Roman" w:cs="B Nazanin" w:hint="cs"/>
          <w:noProof/>
          <w:sz w:val="20"/>
          <w:szCs w:val="20"/>
          <w:rtl/>
          <w:lang w:bidi="fa-IR"/>
        </w:rPr>
        <w:t xml:space="preserve"> </w:t>
      </w:r>
    </w:p>
    <w:p>
      <w:pPr>
        <w:bidi/>
        <w:spacing w:before="100" w:beforeAutospacing="1" w:after="100" w:afterAutospacing="1" w:line="240" w:lineRule="auto"/>
        <w:jc w:val="center"/>
        <w:rPr>
          <w:rFonts w:ascii="Times New Roman" w:eastAsia="Times New Roman" w:hAnsi="Times New Roman" w:cs="B Nazanin"/>
          <w:noProof/>
          <w:sz w:val="20"/>
          <w:szCs w:val="20"/>
          <w:rtl/>
        </w:rPr>
      </w:pPr>
      <w:r>
        <w:rPr>
          <w:rFonts w:ascii="Times New Roman" w:eastAsia="Times New Roman" w:hAnsi="Times New Roman" w:cs="B Nazanin" w:hint="cs"/>
          <w:noProof/>
          <w:sz w:val="20"/>
          <w:szCs w:val="20"/>
          <w:rtl/>
          <w:lang w:bidi="fa-IR"/>
        </w:rPr>
        <w:t>2- مرتبه علمی، تخصص اصلی، گروه آموزشی، دانشکده و دانشگاه / موسسه علمی - پژوهشی، (</w:t>
      </w:r>
      <w:r>
        <w:rPr>
          <w:rFonts w:ascii="Times New Roman" w:eastAsia="Times New Roman" w:hAnsi="Times New Roman" w:cs="B Nazanin"/>
          <w:noProof/>
          <w:sz w:val="20"/>
          <w:szCs w:val="20"/>
          <w:lang w:bidi="fa-IR"/>
        </w:rPr>
        <w:t>B Nazanin 10pt</w:t>
      </w:r>
      <w:r>
        <w:rPr>
          <w:rFonts w:ascii="Times New Roman" w:eastAsia="Times New Roman" w:hAnsi="Times New Roman" w:cs="B Nazanin" w:hint="cs"/>
          <w:b/>
          <w:bCs/>
          <w:noProof/>
          <w:sz w:val="20"/>
          <w:szCs w:val="20"/>
          <w:rtl/>
          <w:lang w:bidi="fa-IR"/>
        </w:rPr>
        <w:t xml:space="preserve"> ) - </w:t>
      </w:r>
      <w:r>
        <w:rPr>
          <w:rFonts w:ascii="Times New Roman" w:eastAsia="Times New Roman" w:hAnsi="Times New Roman" w:cs="B Nazanin" w:hint="cs"/>
          <w:noProof/>
          <w:sz w:val="20"/>
          <w:szCs w:val="20"/>
          <w:rtl/>
        </w:rPr>
        <w:t>آدرس پست الکترونيکي</w:t>
      </w:r>
    </w:p>
    <w:p>
      <w:pPr>
        <w:bidi/>
        <w:spacing w:after="0" w:line="240" w:lineRule="auto"/>
        <w:contextualSpacing/>
        <w:jc w:val="center"/>
        <w:rPr>
          <w:rFonts w:ascii="Times New Roman" w:eastAsia="Times New Roman" w:hAnsi="Times New Roman" w:cs="B Nazanin"/>
          <w:b/>
          <w:bCs/>
          <w:noProof/>
          <w:sz w:val="24"/>
          <w:szCs w:val="24"/>
          <w:rtl/>
        </w:rPr>
      </w:pPr>
      <w:r>
        <w:rPr>
          <w:rFonts w:ascii="Times New Roman" w:eastAsia="Times New Roman" w:hAnsi="Times New Roman" w:cs="B Nazanin" w:hint="cs"/>
          <w:b/>
          <w:bCs/>
          <w:noProof/>
          <w:sz w:val="24"/>
          <w:szCs w:val="24"/>
          <w:rtl/>
        </w:rPr>
        <w:t>.</w:t>
      </w:r>
    </w:p>
    <w:p>
      <w:pPr>
        <w:bidi/>
        <w:spacing w:after="0" w:line="240" w:lineRule="auto"/>
        <w:contextualSpacing/>
        <w:jc w:val="center"/>
        <w:rPr>
          <w:rFonts w:ascii="Times New Roman" w:eastAsia="Times New Roman" w:hAnsi="Times New Roman" w:cs="B Nazanin"/>
          <w:b/>
          <w:bCs/>
          <w:noProof/>
          <w:sz w:val="24"/>
          <w:szCs w:val="24"/>
          <w:rtl/>
        </w:rPr>
      </w:pPr>
      <w:r>
        <w:rPr>
          <w:rFonts w:ascii="Times New Roman" w:eastAsia="Times New Roman" w:hAnsi="Times New Roman" w:cs="B Nazanin" w:hint="cs"/>
          <w:b/>
          <w:bCs/>
          <w:noProof/>
          <w:sz w:val="24"/>
          <w:szCs w:val="24"/>
          <w:rtl/>
        </w:rPr>
        <w:t>.</w:t>
      </w:r>
    </w:p>
    <w:p>
      <w:pPr>
        <w:bidi/>
        <w:spacing w:after="0" w:line="240" w:lineRule="auto"/>
        <w:contextualSpacing/>
        <w:jc w:val="center"/>
        <w:rPr>
          <w:rFonts w:ascii="Arial" w:eastAsia="Times New Roman" w:hAnsi="Arial" w:cs="B Nazanin"/>
          <w:b/>
          <w:bCs/>
          <w:noProof/>
          <w:sz w:val="32"/>
          <w:szCs w:val="24"/>
          <w:rtl/>
          <w:lang w:bidi="fa-IR"/>
        </w:rPr>
      </w:pPr>
      <w:r>
        <w:rPr>
          <w:rFonts w:ascii="Times New Roman" w:eastAsia="Times New Roman" w:hAnsi="Times New Roman" w:cs="B Nazanin" w:hint="cs"/>
          <w:b/>
          <w:bCs/>
          <w:noProof/>
          <w:sz w:val="24"/>
          <w:szCs w:val="24"/>
          <w:rtl/>
        </w:rPr>
        <w:t>.</w:t>
      </w:r>
    </w:p>
    <w:p>
      <w:pPr>
        <w:bidi/>
        <w:spacing w:before="100" w:beforeAutospacing="1" w:after="100" w:afterAutospacing="1" w:line="240" w:lineRule="auto"/>
        <w:rPr>
          <w:rFonts w:ascii="Times New Roman" w:eastAsia="Times New Roman" w:hAnsi="Times New Roman" w:cs="B Nazanin"/>
          <w:b/>
          <w:bCs/>
          <w:noProof/>
          <w:szCs w:val="24"/>
          <w:rtl/>
          <w:lang w:bidi="fa-IR"/>
        </w:rPr>
      </w:pPr>
      <w:r>
        <w:rPr>
          <w:rFonts w:ascii="Times New Roman" w:eastAsia="Times New Roman" w:hAnsi="Times New Roman" w:cs="B Nazanin" w:hint="cs"/>
          <w:b/>
          <w:bCs/>
          <w:noProof/>
          <w:szCs w:val="24"/>
          <w:rtl/>
          <w:lang w:bidi="fa-IR"/>
        </w:rPr>
        <w:t>چكيده (</w:t>
      </w:r>
      <w:r>
        <w:rPr>
          <w:rFonts w:ascii="Times New Roman" w:eastAsia="Times New Roman" w:hAnsi="Times New Roman" w:cs="B Nazanin"/>
          <w:b/>
          <w:bCs/>
          <w:noProof/>
          <w:sz w:val="24"/>
          <w:szCs w:val="24"/>
          <w:lang w:bidi="fa-IR"/>
        </w:rPr>
        <w:t>B Nazanin 12pt</w:t>
      </w:r>
      <w:r>
        <w:rPr>
          <w:rFonts w:ascii="Times New Roman" w:eastAsia="Times New Roman" w:hAnsi="Times New Roman" w:cs="B Nazanin" w:hint="cs"/>
          <w:b/>
          <w:bCs/>
          <w:noProof/>
          <w:szCs w:val="24"/>
          <w:rtl/>
          <w:lang w:bidi="fa-IR"/>
        </w:rPr>
        <w:t xml:space="preserve"> پررنگ)</w:t>
      </w:r>
    </w:p>
    <w:p>
      <w:pPr>
        <w:bidi/>
        <w:spacing w:before="100" w:beforeAutospacing="1" w:after="100" w:afterAutospacing="1" w:line="240" w:lineRule="auto"/>
        <w:ind w:left="567" w:right="567"/>
        <w:jc w:val="both"/>
        <w:rPr>
          <w:rFonts w:ascii="Times New Roman" w:eastAsia="Times New Roman" w:hAnsi="Times New Roman" w:cs="B Nazanin"/>
          <w:noProof/>
          <w:sz w:val="20"/>
          <w:rtl/>
          <w:lang w:bidi="fa-IR"/>
        </w:rPr>
      </w:pPr>
      <w:r>
        <w:rPr>
          <w:rFonts w:ascii="Times New Roman" w:eastAsia="Times New Roman" w:hAnsi="Times New Roman" w:cs="B Nazanin" w:hint="cs"/>
          <w:noProof/>
          <w:sz w:val="20"/>
          <w:rtl/>
        </w:rPr>
        <w:t xml:space="preserve">هر مقاله بايد داراي يک </w:t>
      </w:r>
      <w:r>
        <w:rPr>
          <w:rFonts w:ascii="Times New Roman" w:eastAsia="Times New Roman" w:hAnsi="Times New Roman" w:cs="B Nazanin" w:hint="cs"/>
          <w:noProof/>
          <w:sz w:val="20"/>
          <w:rtl/>
          <w:lang w:bidi="fa-IR"/>
        </w:rPr>
        <w:t>چكيده</w:t>
      </w:r>
      <w:r>
        <w:rPr>
          <w:rFonts w:ascii="Times New Roman" w:eastAsia="Times New Roman" w:hAnsi="Times New Roman" w:cs="B Nazanin" w:hint="cs"/>
          <w:noProof/>
          <w:sz w:val="20"/>
          <w:rtl/>
        </w:rPr>
        <w:t xml:space="preserve"> حداکثر 250 کلمه</w:t>
      </w:r>
      <w:r>
        <w:rPr>
          <w:rFonts w:ascii="Times New Roman" w:eastAsia="Times New Roman" w:hAnsi="Times New Roman" w:cs="B Nazanin" w:hint="cs"/>
          <w:noProof/>
          <w:sz w:val="20"/>
          <w:rtl/>
        </w:rPr>
        <w:softHyphen/>
        <w:t>اي باشد که در يک پاراگراف تهيه شود. اين بخش بايد به صورت مستقل بيانگر خلاصه</w:t>
      </w:r>
      <w:r>
        <w:rPr>
          <w:rFonts w:ascii="Times New Roman" w:eastAsia="Times New Roman" w:hAnsi="Times New Roman" w:cs="B Nazanin"/>
          <w:noProof/>
          <w:sz w:val="20"/>
          <w:rtl/>
        </w:rPr>
        <w:softHyphen/>
      </w:r>
      <w:r>
        <w:rPr>
          <w:rFonts w:ascii="Times New Roman" w:eastAsia="Times New Roman" w:hAnsi="Times New Roman" w:cs="B Nazanin" w:hint="cs"/>
          <w:noProof/>
          <w:sz w:val="20"/>
          <w:rtl/>
        </w:rPr>
        <w:t>ای از موضوع، اهداف، روش تحقيق و نتايج مقاله باشد.</w:t>
      </w:r>
      <w:r>
        <w:rPr>
          <w:rFonts w:ascii="Times New Roman" w:eastAsia="Times New Roman" w:hAnsi="Times New Roman" w:cs="B Nazanin" w:hint="cs"/>
          <w:noProof/>
          <w:sz w:val="20"/>
          <w:rtl/>
          <w:lang w:bidi="fa-IR"/>
        </w:rPr>
        <w:t xml:space="preserve"> از اشاره به منابع و مآخذ در اين قسمت بايد خودداري شود.</w:t>
      </w:r>
      <w:r>
        <w:rPr>
          <w:rFonts w:ascii="Times New Roman" w:eastAsia="Times New Roman" w:hAnsi="Times New Roman" w:cs="B Nazanin" w:hint="cs"/>
          <w:noProof/>
          <w:sz w:val="20"/>
          <w:rtl/>
        </w:rPr>
        <w:t xml:space="preserve"> فونت اين بخش از نوع </w:t>
      </w:r>
      <w:r>
        <w:rPr>
          <w:rFonts w:ascii="Times New Roman" w:eastAsia="Times New Roman" w:hAnsi="Times New Roman" w:cs="B Nazanin"/>
          <w:noProof/>
          <w:sz w:val="20"/>
          <w:lang w:bidi="fa-IR"/>
        </w:rPr>
        <w:t>(B Nazanin 11pt)</w:t>
      </w:r>
      <w:r>
        <w:rPr>
          <w:rFonts w:ascii="Times New Roman" w:eastAsia="Times New Roman" w:hAnsi="Times New Roman" w:cs="B Nazanin" w:hint="cs"/>
          <w:noProof/>
          <w:sz w:val="20"/>
          <w:rtl/>
          <w:lang w:bidi="fa-IR"/>
        </w:rPr>
        <w:t xml:space="preserve"> مي</w:t>
      </w:r>
      <w:r>
        <w:rPr>
          <w:rFonts w:ascii="Times New Roman" w:eastAsia="Times New Roman" w:hAnsi="Times New Roman" w:cs="B Nazanin" w:hint="cs"/>
          <w:noProof/>
          <w:sz w:val="20"/>
          <w:rtl/>
          <w:lang w:bidi="fa-IR"/>
        </w:rPr>
        <w:softHyphen/>
        <w:t>باشد.</w:t>
      </w:r>
    </w:p>
    <w:p>
      <w:pPr>
        <w:bidi/>
        <w:spacing w:before="100" w:beforeAutospacing="1" w:after="100" w:afterAutospacing="1" w:line="240" w:lineRule="auto"/>
        <w:jc w:val="both"/>
        <w:rPr>
          <w:rFonts w:ascii="Times New Roman" w:eastAsia="Times New Roman" w:hAnsi="Times New Roman" w:cs="B Nazanin"/>
          <w:noProof/>
          <w:rtl/>
          <w:lang w:bidi="fa-IR"/>
        </w:rPr>
      </w:pPr>
      <w:r>
        <w:rPr>
          <w:rFonts w:ascii="Times New Roman" w:eastAsia="Times New Roman" w:hAnsi="Times New Roman" w:cs="B Nazanin" w:hint="cs"/>
          <w:b/>
          <w:bCs/>
          <w:i/>
          <w:iCs/>
          <w:noProof/>
          <w:rtl/>
          <w:lang w:bidi="fa-IR"/>
        </w:rPr>
        <w:t>واژه‌هاي كليدي</w:t>
      </w:r>
      <w:r>
        <w:rPr>
          <w:rFonts w:ascii="Times New Roman" w:eastAsia="Times New Roman" w:hAnsi="Times New Roman" w:cs="B Nazanin" w:hint="cs"/>
          <w:b/>
          <w:bCs/>
          <w:noProof/>
          <w:rtl/>
          <w:lang w:bidi="fa-IR"/>
        </w:rPr>
        <w:t>:</w:t>
      </w:r>
      <w:r>
        <w:rPr>
          <w:rFonts w:ascii="Times New Roman" w:eastAsia="Times New Roman" w:hAnsi="Times New Roman" w:cs="B Nazanin" w:hint="cs"/>
          <w:noProof/>
          <w:rtl/>
          <w:lang w:bidi="fa-IR"/>
        </w:rPr>
        <w:t xml:space="preserve"> حداقل 5 و حداكثر 6 واژه كه با </w:t>
      </w:r>
      <w:r>
        <w:rPr>
          <w:rFonts w:ascii="Times New Roman" w:eastAsia="Times New Roman" w:hAnsi="Times New Roman" w:cs="B Nazanin" w:hint="cs"/>
          <w:noProof/>
          <w:rtl/>
          <w:lang w:val="en-GB" w:bidi="fa-IR"/>
        </w:rPr>
        <w:t>ویرگول</w:t>
      </w:r>
      <w:r>
        <w:rPr>
          <w:rFonts w:ascii="Times New Roman" w:eastAsia="Times New Roman" w:hAnsi="Times New Roman" w:cs="B Nazanin" w:hint="cs"/>
          <w:noProof/>
          <w:rtl/>
          <w:lang w:bidi="fa-IR"/>
        </w:rPr>
        <w:t xml:space="preserve"> جدا شده و بر اساس حروف الفبا در يك خط قرار گيرند. </w:t>
      </w:r>
      <w:r>
        <w:rPr>
          <w:rFonts w:ascii="Times New Roman" w:eastAsia="Times New Roman" w:hAnsi="Times New Roman" w:cs="B Nazanin"/>
          <w:noProof/>
          <w:lang w:bidi="fa-IR"/>
        </w:rPr>
        <w:t>(B Nazanin 11pt)</w:t>
      </w:r>
    </w:p>
    <w:p>
      <w:pPr>
        <w:bidi/>
        <w:rPr>
          <w:rtl/>
          <w:lang w:bidi="fa-IR"/>
        </w:rPr>
      </w:pPr>
      <w:bookmarkStart w:id="7" w:name="_GoBack"/>
      <w:bookmarkEnd w:id="7"/>
    </w:p>
    <w:p>
      <w:pPr>
        <w:rPr>
          <w:rtl/>
        </w:rPr>
      </w:pPr>
    </w:p>
    <w:sectPr>
      <w:headerReference w:type="default" r:id="rId13"/>
      <w:pgSz w:w="11906" w:h="16838"/>
      <w:pgMar w:top="1794" w:right="1985" w:bottom="1418" w:left="1418"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r>
      <w:rPr>
        <w:noProof/>
        <w:lang w:bidi="fa-IR"/>
      </w:rPr>
      <w:drawing>
        <wp:anchor distT="0" distB="0" distL="114300" distR="114300" simplePos="0" relativeHeight="251658240" behindDoc="1" locked="0" layoutInCell="1" allowOverlap="1">
          <wp:simplePos x="0" y="0"/>
          <wp:positionH relativeFrom="page">
            <wp:align>left</wp:align>
          </wp:positionH>
          <wp:positionV relativeFrom="page">
            <wp:align>top</wp:align>
          </wp:positionV>
          <wp:extent cx="7572375" cy="1895475"/>
          <wp:effectExtent l="0" t="0" r="9525" b="9525"/>
          <wp:wrapThrough wrapText="bothSides">
            <wp:wrapPolygon edited="0">
              <wp:start x="0" y="0"/>
              <wp:lineTo x="0" y="21491"/>
              <wp:lineTo x="21573" y="21491"/>
              <wp:lineTo x="21573"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72375" cy="1895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5860D2"/>
    <w:multiLevelType w:val="hybridMultilevel"/>
    <w:tmpl w:val="2374933A"/>
    <w:lvl w:ilvl="0" w:tplc="DCDA2F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7B58E0"/>
    <w:multiLevelType w:val="hybridMultilevel"/>
    <w:tmpl w:val="C3063F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F83E21"/>
    <w:multiLevelType w:val="hybridMultilevel"/>
    <w:tmpl w:val="866668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revisionView w:inkAnnotation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5A71F9F-C394-794F-953A-C181BF503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table" w:customStyle="1" w:styleId="TableGrid1">
    <w:name w:val="Table Grid1"/>
    <w:basedOn w:val="TableNormal"/>
    <w:next w:val="TableGrid"/>
    <w:uiPriority w:val="39"/>
    <w:rPr>
      <w:kern w:val="0"/>
      <w:sz w:val="22"/>
      <w:szCs w:val="22"/>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umaorganic.i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s://events.uma.ac.ir/agri"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جوا97</b:Tag>
    <b:SourceType>JournalArticle</b:SourceType>
    <b:Guid>{B56E24FF-459C-4289-AE36-0E61AA882EDF}</b:Guid>
    <b:Title>بررسی مقاومت به تنش شوری در بذرهای حاصل از بوته‌های گوجه فرنگی محلول پاشی شده با ۲۴- اپی براسینولید و نانواکسید روی</b:Title>
    <b:Year>1397</b:Year>
    <b:LCID>fa-IR</b:LCID>
    <b:JournalName>فرآیند و کارکرد گیاهی</b:JournalName>
    <b:Pages>103-120</b:Pages>
    <b:Author>
      <b:Author>
        <b:NameList>
          <b:Person>
            <b:Last>جوادی</b:Last>
            <b:First>ا.</b:First>
          </b:Person>
          <b:Person>
            <b:Last>خماری</b:Last>
            <b:First>س.</b:First>
          </b:Person>
          <b:Person>
            <b:Last>اسماعیل پور</b:Last>
            <b:First>ب.</b:First>
          </b:Person>
          <b:Person>
            <b:Last>اصغری</b:Last>
            <b:First>ع.</b:First>
          </b:Person>
        </b:NameList>
      </b:Author>
    </b:Author>
    <b:Volume>7</b:Volume>
    <b:Issue>24</b:Issue>
    <b:RefOrder>2</b:RefOrder>
  </b:Source>
  <b:Source>
    <b:Tag>سید93</b:Tag>
    <b:SourceType>Book</b:SourceType>
    <b:Guid>{5DE43CA3-F56D-4433-9B48-40F899C483F8}</b:Guid>
    <b:Title>زراعت گیاهان علوفه ای</b:Title>
    <b:Year>1393</b:Year>
    <b:Pages>595</b:Pages>
    <b:City>اردبیل</b:City>
    <b:Publisher>انتشارات دانشگاه محقق اردبیلی</b:Publisher>
    <b:LCID>fa-IR</b:LCID>
    <b:Author>
      <b:Author>
        <b:NameList>
          <b:Person>
            <b:Last>سیدشریفی</b:Last>
            <b:First>ر.</b:First>
          </b:Person>
          <b:Person>
            <b:Last>حکم علی پور</b:Last>
            <b:First>س.</b:First>
          </b:Person>
        </b:NameList>
      </b:Author>
    </b:Author>
    <b:RefOrder>3</b:RefOrder>
  </b:Source>
  <b:Source>
    <b:Tag>اصغ00</b:Tag>
    <b:SourceType>ConferenceProceedings</b:SourceType>
    <b:Guid>{E8A12F18-7702-439C-A186-F3B68852E8E5}</b:Guid>
    <b:Title>تاثیر کاربرد انواع بیوچار و قارچ تریکودرما بر رشد ریشه و فعالیت آنزیم کاتالاز گیاهچه اسپرس رشد یافته در خاک حاوی فلزات سنگین</b:Title>
    <b:Year>1400</b:Year>
    <b:City>کرمان</b:City>
    <b:Publisher>دانشگاه شهید باهنر کرمان</b:Publisher>
    <b:Pages>5</b:Pages>
    <b:ConferenceName>هفدهمین کنگره ملی و سومین کنگره بین المللی علوم زراعت و اصلاح نباتات ایران</b:ConferenceName>
    <b:Author>
      <b:Author>
        <b:NameList>
          <b:Person>
            <b:Last>اصغری</b:Last>
            <b:First>م.ر.</b:First>
          </b:Person>
          <b:Person>
            <b:Last>خماری</b:Last>
            <b:First>س.</b:First>
          </b:Person>
          <b:Person>
            <b:Last>داوری</b:Last>
            <b:First>م.</b:First>
          </b:Person>
        </b:NameList>
      </b:Author>
    </b:Author>
    <b:LCID>fa-IR</b:LCID>
    <b:URL>https://civilica.com/doc/1419028</b:URL>
    <b:RefOrder>1</b:RefOrder>
  </b:Source>
</b:Sources>
</file>

<file path=customXml/itemProps1.xml><?xml version="1.0" encoding="utf-8"?>
<ds:datastoreItem xmlns:ds="http://schemas.openxmlformats.org/officeDocument/2006/customXml" ds:itemID="{ACD00C51-0268-43B5-BADB-D47A642BE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1348</Words>
  <Characters>7689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Reza Rasoulzadeh</dc:creator>
  <cp:keywords/>
  <dc:description/>
  <cp:lastModifiedBy>NBe</cp:lastModifiedBy>
  <cp:revision>4</cp:revision>
  <dcterms:created xsi:type="dcterms:W3CDTF">2026-05-14T17:47:00Z</dcterms:created>
  <dcterms:modified xsi:type="dcterms:W3CDTF">2026-05-17T06:06:00Z</dcterms:modified>
</cp:coreProperties>
</file>